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87103" w14:textId="196A011D" w:rsidR="007B7C69" w:rsidRPr="00C3537E" w:rsidRDefault="00CE012B">
      <w:pPr>
        <w:widowControl w:val="0"/>
        <w:autoSpaceDE w:val="0"/>
        <w:autoSpaceDN w:val="0"/>
        <w:adjustRightInd w:val="0"/>
        <w:spacing w:line="240" w:lineRule="atLeast"/>
        <w:ind w:left="-794"/>
        <w:rPr>
          <w:lang w:val="en-GB"/>
        </w:rPr>
      </w:pPr>
      <w:r>
        <w:rPr>
          <w:noProof/>
          <w:sz w:val="20"/>
          <w:lang w:val="es-CO" w:eastAsia="es-CO"/>
        </w:rPr>
        <mc:AlternateContent>
          <mc:Choice Requires="wps">
            <w:drawing>
              <wp:anchor distT="0" distB="0" distL="114300" distR="114300" simplePos="0" relativeHeight="251660800" behindDoc="1" locked="0" layoutInCell="1" allowOverlap="1" wp14:anchorId="2D4A06E7" wp14:editId="0B28058F">
                <wp:simplePos x="0" y="0"/>
                <wp:positionH relativeFrom="page">
                  <wp:posOffset>6490335</wp:posOffset>
                </wp:positionH>
                <wp:positionV relativeFrom="page">
                  <wp:posOffset>726440</wp:posOffset>
                </wp:positionV>
                <wp:extent cx="609600" cy="97536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9753600"/>
                        </a:xfrm>
                        <a:prstGeom prst="rect">
                          <a:avLst/>
                        </a:prstGeom>
                        <a:solidFill>
                          <a:srgbClr val="6124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E871" id="Rectangle 11" o:spid="_x0000_s1026" style="position:absolute;margin-left:511.05pt;margin-top:57.2pt;width:48pt;height:7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" fillcolor="#61243b" stroked="f">
                <w10:wrap anchorx="page" anchory="page"/>
              </v:rect>
            </w:pict>
          </mc:Fallback>
        </mc:AlternateContent>
      </w:r>
      <w:r w:rsidR="00BA7DC1" w:rsidRPr="00C3537E">
        <w:rPr>
          <w:noProof/>
          <w:sz w:val="20"/>
        </w:rPr>
        <w:drawing>
          <wp:inline distT="0" distB="0" distL="0" distR="0" wp14:anchorId="0BF79ECB" wp14:editId="3593812D">
            <wp:extent cx="19335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009650"/>
                    </a:xfrm>
                    <a:prstGeom prst="rect">
                      <a:avLst/>
                    </a:prstGeom>
                    <a:noFill/>
                    <a:ln>
                      <a:noFill/>
                    </a:ln>
                  </pic:spPr>
                </pic:pic>
              </a:graphicData>
            </a:graphic>
          </wp:inline>
        </w:drawing>
      </w:r>
    </w:p>
    <w:p w14:paraId="271425B5" w14:textId="77777777" w:rsidR="007B7C69" w:rsidRPr="00C3537E" w:rsidRDefault="007B7C69">
      <w:pPr>
        <w:widowControl w:val="0"/>
        <w:autoSpaceDE w:val="0"/>
        <w:autoSpaceDN w:val="0"/>
        <w:adjustRightInd w:val="0"/>
        <w:spacing w:line="200" w:lineRule="exact"/>
        <w:rPr>
          <w:sz w:val="20"/>
          <w:szCs w:val="20"/>
          <w:lang w:val="en-GB"/>
        </w:rPr>
      </w:pPr>
    </w:p>
    <w:p w14:paraId="4AF74B46" w14:textId="6A3342D5" w:rsidR="007B7C69" w:rsidRPr="00C3537E" w:rsidRDefault="00CE012B">
      <w:pPr>
        <w:widowControl w:val="0"/>
        <w:autoSpaceDE w:val="0"/>
        <w:autoSpaceDN w:val="0"/>
        <w:adjustRightInd w:val="0"/>
        <w:spacing w:line="200" w:lineRule="exact"/>
        <w:rPr>
          <w:sz w:val="20"/>
          <w:szCs w:val="20"/>
          <w:lang w:val="en-GB"/>
        </w:rPr>
      </w:pPr>
      <w:r>
        <w:rPr>
          <w:noProof/>
          <w:sz w:val="20"/>
          <w:lang w:val="es-CO" w:eastAsia="es-CO"/>
        </w:rPr>
        <mc:AlternateContent>
          <mc:Choice Requires="wps">
            <w:drawing>
              <wp:anchor distT="0" distB="0" distL="114300" distR="114300" simplePos="0" relativeHeight="251651584" behindDoc="1" locked="0" layoutInCell="1" allowOverlap="1" wp14:anchorId="76CF745C" wp14:editId="4168BD4E">
                <wp:simplePos x="0" y="0"/>
                <wp:positionH relativeFrom="page">
                  <wp:posOffset>394335</wp:posOffset>
                </wp:positionH>
                <wp:positionV relativeFrom="page">
                  <wp:posOffset>2021840</wp:posOffset>
                </wp:positionV>
                <wp:extent cx="6657975" cy="84582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8458200"/>
                        </a:xfrm>
                        <a:prstGeom prst="rect">
                          <a:avLst/>
                        </a:prstGeom>
                        <a:solidFill>
                          <a:srgbClr val="6124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87F4" id="Rectangle 2" o:spid="_x0000_s1026" style="position:absolute;margin-left:31.05pt;margin-top:159.2pt;width:524.25pt;height:66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" fillcolor="#61243b" stroked="f">
                <w10:wrap anchorx="page" anchory="page"/>
              </v:rect>
            </w:pict>
          </mc:Fallback>
        </mc:AlternateContent>
      </w:r>
    </w:p>
    <w:p w14:paraId="0C0F90F4" w14:textId="77777777" w:rsidR="007B7C69" w:rsidRPr="00C3537E" w:rsidRDefault="007B7C69">
      <w:pPr>
        <w:widowControl w:val="0"/>
        <w:autoSpaceDE w:val="0"/>
        <w:autoSpaceDN w:val="0"/>
        <w:adjustRightInd w:val="0"/>
        <w:spacing w:line="200" w:lineRule="exact"/>
        <w:rPr>
          <w:sz w:val="20"/>
          <w:szCs w:val="20"/>
          <w:lang w:val="en-GB"/>
        </w:rPr>
      </w:pPr>
    </w:p>
    <w:p w14:paraId="4C388FEC" w14:textId="77777777" w:rsidR="007B7C69" w:rsidRPr="00C3537E" w:rsidRDefault="007B7C69">
      <w:pPr>
        <w:widowControl w:val="0"/>
        <w:autoSpaceDE w:val="0"/>
        <w:autoSpaceDN w:val="0"/>
        <w:adjustRightInd w:val="0"/>
        <w:spacing w:line="200" w:lineRule="exact"/>
        <w:rPr>
          <w:sz w:val="20"/>
          <w:szCs w:val="20"/>
          <w:lang w:val="en-GB"/>
        </w:rPr>
      </w:pPr>
    </w:p>
    <w:p w14:paraId="30F61BD0" w14:textId="77777777" w:rsidR="007B7C69" w:rsidRPr="00C3537E" w:rsidRDefault="007B7C69">
      <w:pPr>
        <w:widowControl w:val="0"/>
        <w:autoSpaceDE w:val="0"/>
        <w:autoSpaceDN w:val="0"/>
        <w:adjustRightInd w:val="0"/>
        <w:spacing w:line="200" w:lineRule="exact"/>
        <w:rPr>
          <w:sz w:val="20"/>
          <w:szCs w:val="20"/>
          <w:lang w:val="en-GB"/>
        </w:rPr>
      </w:pPr>
    </w:p>
    <w:p w14:paraId="6C95D48D" w14:textId="77777777" w:rsidR="007B7C69" w:rsidRPr="00C3537E" w:rsidRDefault="007B7C69">
      <w:pPr>
        <w:widowControl w:val="0"/>
        <w:autoSpaceDE w:val="0"/>
        <w:autoSpaceDN w:val="0"/>
        <w:adjustRightInd w:val="0"/>
        <w:spacing w:line="200" w:lineRule="exact"/>
        <w:rPr>
          <w:sz w:val="20"/>
          <w:szCs w:val="20"/>
          <w:lang w:val="en-GB"/>
        </w:rPr>
      </w:pPr>
    </w:p>
    <w:p w14:paraId="4B0804D5" w14:textId="77777777" w:rsidR="007B7C69" w:rsidRPr="00C3537E" w:rsidRDefault="007B7C69">
      <w:pPr>
        <w:widowControl w:val="0"/>
        <w:autoSpaceDE w:val="0"/>
        <w:autoSpaceDN w:val="0"/>
        <w:adjustRightInd w:val="0"/>
        <w:spacing w:line="200" w:lineRule="exact"/>
        <w:rPr>
          <w:sz w:val="20"/>
          <w:szCs w:val="20"/>
          <w:lang w:val="en-GB"/>
        </w:rPr>
      </w:pPr>
    </w:p>
    <w:p w14:paraId="0DAE3088" w14:textId="77777777" w:rsidR="007B7C69" w:rsidRPr="00C3537E" w:rsidRDefault="007B7C69">
      <w:pPr>
        <w:widowControl w:val="0"/>
        <w:autoSpaceDE w:val="0"/>
        <w:autoSpaceDN w:val="0"/>
        <w:adjustRightInd w:val="0"/>
        <w:spacing w:line="200" w:lineRule="exact"/>
        <w:rPr>
          <w:sz w:val="20"/>
          <w:szCs w:val="20"/>
          <w:lang w:val="en-GB"/>
        </w:rPr>
      </w:pPr>
    </w:p>
    <w:p w14:paraId="6E887A04" w14:textId="77777777" w:rsidR="007B7C69" w:rsidRPr="00C3537E" w:rsidRDefault="007B7C69">
      <w:pPr>
        <w:widowControl w:val="0"/>
        <w:autoSpaceDE w:val="0"/>
        <w:autoSpaceDN w:val="0"/>
        <w:adjustRightInd w:val="0"/>
        <w:spacing w:line="254" w:lineRule="exact"/>
        <w:rPr>
          <w:lang w:val="en-GB"/>
        </w:rPr>
      </w:pPr>
    </w:p>
    <w:p w14:paraId="04BDD688" w14:textId="77777777" w:rsidR="007B7C69" w:rsidRPr="00C3537E" w:rsidRDefault="007B7C69">
      <w:pPr>
        <w:pStyle w:val="Textoindependiente2"/>
        <w:rPr>
          <w:color w:val="000000"/>
          <w:sz w:val="20"/>
          <w:szCs w:val="20"/>
        </w:rPr>
      </w:pPr>
      <w:r w:rsidRPr="00C3537E">
        <w:t>ANTI-CARTEL ENFORCEMENT TEMPLATE</w:t>
      </w:r>
    </w:p>
    <w:p w14:paraId="01DBC241" w14:textId="77777777" w:rsidR="007B7C69" w:rsidRPr="00C3537E" w:rsidRDefault="007B7C69">
      <w:pPr>
        <w:widowControl w:val="0"/>
        <w:autoSpaceDE w:val="0"/>
        <w:autoSpaceDN w:val="0"/>
        <w:adjustRightInd w:val="0"/>
        <w:spacing w:line="200" w:lineRule="exact"/>
        <w:rPr>
          <w:rFonts w:ascii="Bookman Old Style" w:hAnsi="Bookman Old Style"/>
          <w:color w:val="000000"/>
          <w:sz w:val="20"/>
          <w:szCs w:val="20"/>
          <w:lang w:val="en-GB"/>
        </w:rPr>
      </w:pPr>
    </w:p>
    <w:p w14:paraId="66B7D67B" w14:textId="77777777" w:rsidR="007B7C69" w:rsidRPr="00C3537E" w:rsidRDefault="007B7C69">
      <w:pPr>
        <w:widowControl w:val="0"/>
        <w:autoSpaceDE w:val="0"/>
        <w:autoSpaceDN w:val="0"/>
        <w:adjustRightInd w:val="0"/>
        <w:spacing w:line="200" w:lineRule="exact"/>
        <w:rPr>
          <w:rFonts w:ascii="Bookman Old Style" w:hAnsi="Bookman Old Style"/>
          <w:color w:val="000000"/>
          <w:sz w:val="20"/>
          <w:szCs w:val="20"/>
          <w:lang w:val="en-GB"/>
        </w:rPr>
      </w:pPr>
    </w:p>
    <w:p w14:paraId="35AC2698" w14:textId="77777777" w:rsidR="007B7C69" w:rsidRPr="00C3537E" w:rsidRDefault="007B7C69">
      <w:pPr>
        <w:widowControl w:val="0"/>
        <w:autoSpaceDE w:val="0"/>
        <w:autoSpaceDN w:val="0"/>
        <w:adjustRightInd w:val="0"/>
        <w:spacing w:line="200" w:lineRule="exact"/>
        <w:rPr>
          <w:rFonts w:ascii="Bookman Old Style" w:hAnsi="Bookman Old Style"/>
          <w:color w:val="000000"/>
          <w:sz w:val="20"/>
          <w:szCs w:val="20"/>
          <w:lang w:val="en-GB"/>
        </w:rPr>
      </w:pPr>
    </w:p>
    <w:p w14:paraId="28517401" w14:textId="77777777" w:rsidR="007B7C69" w:rsidRPr="00C3537E" w:rsidRDefault="007B7C69">
      <w:pPr>
        <w:widowControl w:val="0"/>
        <w:autoSpaceDE w:val="0"/>
        <w:autoSpaceDN w:val="0"/>
        <w:adjustRightInd w:val="0"/>
        <w:spacing w:line="200" w:lineRule="exact"/>
        <w:rPr>
          <w:rFonts w:ascii="Bookman Old Style" w:hAnsi="Bookman Old Style"/>
          <w:color w:val="000000"/>
          <w:sz w:val="20"/>
          <w:szCs w:val="20"/>
          <w:lang w:val="en-GB"/>
        </w:rPr>
      </w:pPr>
    </w:p>
    <w:p w14:paraId="57DC1B96" w14:textId="77777777" w:rsidR="007B7C69" w:rsidRPr="00C3537E" w:rsidRDefault="007B7C69">
      <w:pPr>
        <w:widowControl w:val="0"/>
        <w:autoSpaceDE w:val="0"/>
        <w:autoSpaceDN w:val="0"/>
        <w:adjustRightInd w:val="0"/>
        <w:spacing w:line="200" w:lineRule="exact"/>
        <w:rPr>
          <w:rFonts w:ascii="Bookman Old Style" w:hAnsi="Bookman Old Style"/>
          <w:color w:val="000000"/>
          <w:sz w:val="20"/>
          <w:szCs w:val="20"/>
          <w:lang w:val="en-GB"/>
        </w:rPr>
      </w:pPr>
    </w:p>
    <w:p w14:paraId="321B1F70" w14:textId="77777777" w:rsidR="007B7C69" w:rsidRPr="00C3537E" w:rsidRDefault="007B7C69">
      <w:pPr>
        <w:widowControl w:val="0"/>
        <w:autoSpaceDE w:val="0"/>
        <w:autoSpaceDN w:val="0"/>
        <w:adjustRightInd w:val="0"/>
        <w:spacing w:line="260" w:lineRule="exact"/>
        <w:ind w:right="-20"/>
        <w:rPr>
          <w:rFonts w:ascii="Bookman Old Style" w:hAnsi="Bookman Old Style"/>
          <w:color w:val="000000"/>
          <w:sz w:val="26"/>
          <w:szCs w:val="26"/>
          <w:lang w:val="en-GB"/>
        </w:rPr>
      </w:pPr>
      <w:r w:rsidRPr="00C3537E">
        <w:rPr>
          <w:rFonts w:ascii="Bookman Old Style" w:hAnsi="Bookman Old Style"/>
          <w:b/>
          <w:bCs/>
          <w:color w:val="F1D9B8"/>
          <w:w w:val="101"/>
          <w:sz w:val="26"/>
          <w:szCs w:val="26"/>
          <w:lang w:val="en-GB"/>
        </w:rPr>
        <w:t>CARTELS WORKING GROUP</w:t>
      </w:r>
    </w:p>
    <w:p w14:paraId="5591CC46" w14:textId="77777777" w:rsidR="007B7C69" w:rsidRPr="00C3537E" w:rsidRDefault="007B7C69">
      <w:pPr>
        <w:widowControl w:val="0"/>
        <w:autoSpaceDE w:val="0"/>
        <w:autoSpaceDN w:val="0"/>
        <w:adjustRightInd w:val="0"/>
        <w:spacing w:line="160" w:lineRule="exact"/>
        <w:rPr>
          <w:rFonts w:ascii="Bookman Old Style" w:hAnsi="Bookman Old Style"/>
          <w:color w:val="000000"/>
          <w:sz w:val="16"/>
          <w:szCs w:val="16"/>
          <w:lang w:val="en-GB"/>
        </w:rPr>
      </w:pPr>
      <w:r w:rsidRPr="00C3537E">
        <w:rPr>
          <w:rFonts w:ascii="Bookman Old Style" w:hAnsi="Bookman Old Style"/>
          <w:color w:val="000000"/>
          <w:sz w:val="16"/>
          <w:szCs w:val="16"/>
          <w:lang w:val="en-GB"/>
        </w:rPr>
        <w:tab/>
      </w:r>
    </w:p>
    <w:p w14:paraId="5556894C" w14:textId="77777777" w:rsidR="007B7C69" w:rsidRPr="00C3537E" w:rsidRDefault="007B7C69">
      <w:pPr>
        <w:widowControl w:val="0"/>
        <w:autoSpaceDE w:val="0"/>
        <w:autoSpaceDN w:val="0"/>
        <w:adjustRightInd w:val="0"/>
        <w:spacing w:line="260" w:lineRule="exact"/>
        <w:ind w:right="-20"/>
        <w:rPr>
          <w:rFonts w:ascii="Bookman Old Style" w:hAnsi="Bookman Old Style"/>
          <w:color w:val="000000"/>
          <w:sz w:val="26"/>
          <w:szCs w:val="26"/>
          <w:lang w:val="en-GB"/>
        </w:rPr>
      </w:pPr>
      <w:r w:rsidRPr="00C3537E">
        <w:rPr>
          <w:rFonts w:ascii="Bookman Old Style" w:hAnsi="Bookman Old Style"/>
          <w:b/>
          <w:bCs/>
          <w:color w:val="F1D9B8"/>
          <w:w w:val="101"/>
          <w:sz w:val="26"/>
          <w:szCs w:val="26"/>
          <w:lang w:val="en-GB"/>
        </w:rPr>
        <w:t>Subgroup 2: Enforcement Techniques</w:t>
      </w:r>
    </w:p>
    <w:p w14:paraId="73DE09B7" w14:textId="77777777" w:rsidR="007B7C69" w:rsidRPr="00C3537E" w:rsidRDefault="007B7C69">
      <w:pPr>
        <w:widowControl w:val="0"/>
        <w:autoSpaceDE w:val="0"/>
        <w:autoSpaceDN w:val="0"/>
        <w:adjustRightInd w:val="0"/>
        <w:spacing w:line="360" w:lineRule="auto"/>
        <w:ind w:left="3600" w:right="-23" w:firstLine="720"/>
        <w:rPr>
          <w:rFonts w:ascii="Bookman Old Style" w:hAnsi="Bookman Old Style"/>
          <w:b/>
          <w:bCs/>
          <w:color w:val="595C5D"/>
          <w:w w:val="101"/>
          <w:sz w:val="26"/>
          <w:szCs w:val="26"/>
          <w:lang w:val="en-GB"/>
        </w:rPr>
      </w:pPr>
    </w:p>
    <w:p w14:paraId="28279AE8" w14:textId="77777777" w:rsidR="0022346E" w:rsidRPr="000C3D95" w:rsidRDefault="0022346E" w:rsidP="0022346E">
      <w:pPr>
        <w:widowControl w:val="0"/>
        <w:autoSpaceDE w:val="0"/>
        <w:autoSpaceDN w:val="0"/>
        <w:adjustRightInd w:val="0"/>
        <w:spacing w:before="240" w:line="360" w:lineRule="auto"/>
        <w:ind w:left="3544" w:right="-23" w:firstLine="720"/>
        <w:jc w:val="both"/>
        <w:rPr>
          <w:rFonts w:ascii="Arial" w:hAnsi="Arial" w:cs="Arial"/>
          <w:b/>
          <w:color w:val="62243C"/>
          <w:sz w:val="32"/>
          <w:lang w:val="en-GB"/>
        </w:rPr>
      </w:pPr>
      <w:r w:rsidRPr="000C3D95">
        <w:rPr>
          <w:rFonts w:ascii="Arial" w:hAnsi="Arial" w:cs="Arial"/>
          <w:b/>
          <w:color w:val="62243C"/>
          <w:sz w:val="32"/>
          <w:lang w:val="en-GB"/>
        </w:rPr>
        <w:t>COLOMBIA</w:t>
      </w:r>
    </w:p>
    <w:p w14:paraId="126E7FA4" w14:textId="77777777" w:rsidR="0022346E" w:rsidRPr="000C3D95" w:rsidRDefault="0022346E" w:rsidP="0022346E">
      <w:pPr>
        <w:widowControl w:val="0"/>
        <w:autoSpaceDE w:val="0"/>
        <w:autoSpaceDN w:val="0"/>
        <w:adjustRightInd w:val="0"/>
        <w:spacing w:line="360" w:lineRule="auto"/>
        <w:ind w:left="4264" w:right="-23"/>
        <w:jc w:val="both"/>
        <w:rPr>
          <w:rFonts w:ascii="Bookman Old Style" w:hAnsi="Bookman Old Style"/>
          <w:b/>
          <w:bCs/>
          <w:color w:val="62243C"/>
          <w:w w:val="101"/>
          <w:sz w:val="26"/>
          <w:szCs w:val="26"/>
          <w:lang w:val="en-GB"/>
        </w:rPr>
      </w:pPr>
      <w:r>
        <w:rPr>
          <w:rFonts w:ascii="Arial" w:hAnsi="Arial" w:cs="Arial"/>
          <w:b/>
          <w:color w:val="62243C"/>
          <w:sz w:val="32"/>
          <w:lang w:val="en-GB"/>
        </w:rPr>
        <w:t>15</w:t>
      </w:r>
      <w:r w:rsidRPr="000C3D95">
        <w:rPr>
          <w:rFonts w:ascii="Arial" w:hAnsi="Arial" w:cs="Arial"/>
          <w:b/>
          <w:color w:val="62243C"/>
          <w:sz w:val="32"/>
          <w:lang w:val="en-GB"/>
        </w:rPr>
        <w:t>.0</w:t>
      </w:r>
      <w:r>
        <w:rPr>
          <w:rFonts w:ascii="Arial" w:hAnsi="Arial" w:cs="Arial"/>
          <w:b/>
          <w:color w:val="62243C"/>
          <w:sz w:val="32"/>
          <w:lang w:val="en-GB"/>
        </w:rPr>
        <w:t>4</w:t>
      </w:r>
      <w:r w:rsidRPr="000C3D95">
        <w:rPr>
          <w:rFonts w:ascii="Arial" w:hAnsi="Arial" w:cs="Arial"/>
          <w:b/>
          <w:color w:val="62243C"/>
          <w:sz w:val="32"/>
          <w:lang w:val="en-GB"/>
        </w:rPr>
        <w:t>.20</w:t>
      </w:r>
      <w:r>
        <w:rPr>
          <w:rFonts w:ascii="Arial" w:hAnsi="Arial" w:cs="Arial"/>
          <w:b/>
          <w:color w:val="62243C"/>
          <w:sz w:val="32"/>
          <w:lang w:val="en-GB"/>
        </w:rPr>
        <w:t>20</w:t>
      </w:r>
    </w:p>
    <w:p w14:paraId="34236363" w14:textId="77777777" w:rsidR="007B7C69" w:rsidRPr="00C3537E" w:rsidRDefault="007B7C69">
      <w:pPr>
        <w:widowControl w:val="0"/>
        <w:autoSpaceDE w:val="0"/>
        <w:autoSpaceDN w:val="0"/>
        <w:adjustRightInd w:val="0"/>
        <w:spacing w:line="360" w:lineRule="auto"/>
        <w:ind w:left="3544" w:right="-23"/>
        <w:rPr>
          <w:rFonts w:ascii="Bookman Old Style" w:hAnsi="Bookman Old Style"/>
          <w:color w:val="000000"/>
          <w:sz w:val="147"/>
          <w:szCs w:val="147"/>
          <w:lang w:val="en-GB"/>
        </w:rPr>
      </w:pPr>
    </w:p>
    <w:p w14:paraId="4CA89844" w14:textId="3292A343" w:rsidR="007B7C69" w:rsidRPr="00C3537E" w:rsidRDefault="00CE012B">
      <w:pPr>
        <w:widowControl w:val="0"/>
        <w:autoSpaceDE w:val="0"/>
        <w:autoSpaceDN w:val="0"/>
        <w:adjustRightInd w:val="0"/>
        <w:spacing w:line="260" w:lineRule="exact"/>
        <w:ind w:left="797" w:right="-20"/>
        <w:rPr>
          <w:rFonts w:ascii="Bookman Old Style" w:hAnsi="Bookman Old Style"/>
          <w:color w:val="000000"/>
          <w:sz w:val="26"/>
          <w:szCs w:val="26"/>
          <w:lang w:val="en-GB"/>
        </w:rPr>
      </w:pPr>
      <w:r>
        <w:rPr>
          <w:noProof/>
          <w:sz w:val="20"/>
          <w:lang w:val="es-CO" w:eastAsia="es-CO"/>
        </w:rPr>
        <mc:AlternateContent>
          <mc:Choice Requires="wps">
            <w:drawing>
              <wp:anchor distT="0" distB="0" distL="114300" distR="114300" simplePos="0" relativeHeight="251652608" behindDoc="1" locked="0" layoutInCell="1" allowOverlap="1" wp14:anchorId="0FAFE589" wp14:editId="7B66D1FC">
                <wp:simplePos x="0" y="0"/>
                <wp:positionH relativeFrom="page">
                  <wp:posOffset>-241300</wp:posOffset>
                </wp:positionH>
                <wp:positionV relativeFrom="page">
                  <wp:posOffset>6350000</wp:posOffset>
                </wp:positionV>
                <wp:extent cx="3048000" cy="38481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848100"/>
                        </a:xfrm>
                        <a:prstGeom prst="rect">
                          <a:avLst/>
                        </a:prstGeom>
                        <a:noFill/>
                        <a:ln>
                          <a:noFill/>
                        </a:ln>
                      </wps:spPr>
                      <wps:txbx>
                        <w:txbxContent>
                          <w:p w14:paraId="090644ED" w14:textId="77777777" w:rsidR="00943190" w:rsidRDefault="00943190">
                            <w:pPr>
                              <w:spacing w:line="6060" w:lineRule="atLeast"/>
                              <w:rPr>
                                <w:sz w:val="20"/>
                              </w:rPr>
                            </w:pPr>
                          </w:p>
                          <w:p w14:paraId="508EE401" w14:textId="77777777" w:rsidR="00943190" w:rsidRDefault="00943190">
                            <w:pPr>
                              <w:widowControl w:val="0"/>
                              <w:autoSpaceDE w:val="0"/>
                              <w:autoSpaceDN w:val="0"/>
                              <w:adjustRightInd w:val="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E589" id="Rectangle 3" o:spid="_x0000_s1026" style="position:absolute;left:0;text-align:left;margin-left:-19pt;margin-top:500pt;width:240pt;height:30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" filled="f" stroked="f">
                <v:textbox inset="0,0,0,0">
                  <w:txbxContent>
                    <w:p w14:paraId="090644ED" w14:textId="77777777" w:rsidR="00943190" w:rsidRDefault="00943190">
                      <w:pPr>
                        <w:spacing w:line="6060" w:lineRule="atLeast"/>
                        <w:rPr>
                          <w:sz w:val="20"/>
                        </w:rPr>
                      </w:pPr>
                    </w:p>
                    <w:p w14:paraId="508EE401" w14:textId="77777777" w:rsidR="00943190" w:rsidRDefault="00943190">
                      <w:pPr>
                        <w:widowControl w:val="0"/>
                        <w:autoSpaceDE w:val="0"/>
                        <w:autoSpaceDN w:val="0"/>
                        <w:adjustRightInd w:val="0"/>
                        <w:rPr>
                          <w:sz w:val="20"/>
                        </w:rPr>
                      </w:pPr>
                    </w:p>
                  </w:txbxContent>
                </v:textbox>
                <w10:wrap anchorx="page" anchory="page"/>
              </v:rect>
            </w:pict>
          </mc:Fallback>
        </mc:AlternateContent>
      </w:r>
      <w:r>
        <w:rPr>
          <w:noProof/>
          <w:sz w:val="20"/>
          <w:lang w:val="es-CO" w:eastAsia="es-CO"/>
        </w:rPr>
        <mc:AlternateContent>
          <mc:Choice Requires="wps">
            <w:drawing>
              <wp:anchor distT="0" distB="0" distL="114300" distR="114300" simplePos="0" relativeHeight="251653632" behindDoc="1" locked="0" layoutInCell="1" allowOverlap="1" wp14:anchorId="6A0572D6" wp14:editId="2B822FF2">
                <wp:simplePos x="0" y="0"/>
                <wp:positionH relativeFrom="page">
                  <wp:posOffset>4730750</wp:posOffset>
                </wp:positionH>
                <wp:positionV relativeFrom="page">
                  <wp:posOffset>2016125</wp:posOffset>
                </wp:positionV>
                <wp:extent cx="717550" cy="721995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721995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3BCA" id="Rectangle 4" o:spid="_x0000_s1026" style="position:absolute;margin-left:372.5pt;margin-top:158.75pt;width:56.5pt;height:56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" stroked="f">
                <w10:wrap anchorx="page" anchory="page"/>
              </v:rect>
            </w:pict>
          </mc:Fallback>
        </mc:AlternateContent>
      </w:r>
      <w:r>
        <w:rPr>
          <w:noProof/>
          <w:sz w:val="20"/>
          <w:lang w:val="es-CO" w:eastAsia="es-CO"/>
        </w:rPr>
        <mc:AlternateContent>
          <mc:Choice Requires="wps">
            <w:drawing>
              <wp:anchor distT="0" distB="0" distL="114300" distR="114300" simplePos="0" relativeHeight="251654656" behindDoc="1" locked="0" layoutInCell="1" allowOverlap="1" wp14:anchorId="6E13732D" wp14:editId="620A2CB3">
                <wp:simplePos x="0" y="0"/>
                <wp:positionH relativeFrom="page">
                  <wp:posOffset>4730750</wp:posOffset>
                </wp:positionH>
                <wp:positionV relativeFrom="page">
                  <wp:posOffset>2016125</wp:posOffset>
                </wp:positionV>
                <wp:extent cx="717550" cy="72199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7219950"/>
                        </a:xfrm>
                        <a:prstGeom prst="rect">
                          <a:avLst/>
                        </a:prstGeom>
                        <a:solidFill>
                          <a:srgbClr val="C4DB5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9329" id="Rectangle 5" o:spid="_x0000_s1026" style="position:absolute;margin-left:372.5pt;margin-top:158.75pt;width:56.5pt;height:56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" fillcolor="#c4db52" stroked="f">
                <w10:wrap anchorx="page" anchory="page"/>
              </v:rect>
            </w:pict>
          </mc:Fallback>
        </mc:AlternateContent>
      </w:r>
      <w:r>
        <w:rPr>
          <w:noProof/>
          <w:sz w:val="20"/>
          <w:lang w:val="es-CO" w:eastAsia="es-CO"/>
        </w:rPr>
        <mc:AlternateContent>
          <mc:Choice Requires="wps">
            <w:drawing>
              <wp:anchor distT="0" distB="0" distL="114300" distR="114300" simplePos="0" relativeHeight="251655680" behindDoc="1" locked="0" layoutInCell="1" allowOverlap="1" wp14:anchorId="7B3673B7" wp14:editId="51937009">
                <wp:simplePos x="0" y="0"/>
                <wp:positionH relativeFrom="page">
                  <wp:posOffset>5448300</wp:posOffset>
                </wp:positionH>
                <wp:positionV relativeFrom="page">
                  <wp:posOffset>1063625</wp:posOffset>
                </wp:positionV>
                <wp:extent cx="301625" cy="81724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817245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391C" id="Rectangle 6" o:spid="_x0000_s1026" style="position:absolute;margin-left:429pt;margin-top:83.75pt;width:23.75pt;height:64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" stroked="f">
                <w10:wrap anchorx="page" anchory="page"/>
              </v:rect>
            </w:pict>
          </mc:Fallback>
        </mc:AlternateContent>
      </w:r>
      <w:r>
        <w:rPr>
          <w:noProof/>
          <w:sz w:val="20"/>
          <w:lang w:val="es-CO" w:eastAsia="es-CO"/>
        </w:rPr>
        <mc:AlternateContent>
          <mc:Choice Requires="wps">
            <w:drawing>
              <wp:anchor distT="0" distB="0" distL="114300" distR="114300" simplePos="0" relativeHeight="251656704" behindDoc="1" locked="0" layoutInCell="1" allowOverlap="1" wp14:anchorId="730222BF" wp14:editId="28564F24">
                <wp:simplePos x="0" y="0"/>
                <wp:positionH relativeFrom="page">
                  <wp:posOffset>5448300</wp:posOffset>
                </wp:positionH>
                <wp:positionV relativeFrom="page">
                  <wp:posOffset>1063625</wp:posOffset>
                </wp:positionV>
                <wp:extent cx="301625" cy="81724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8172450"/>
                        </a:xfrm>
                        <a:prstGeom prst="rect">
                          <a:avLst/>
                        </a:prstGeom>
                        <a:solidFill>
                          <a:srgbClr val="1E49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3EE7" id="Rectangle 7" o:spid="_x0000_s1026" style="position:absolute;margin-left:429pt;margin-top:83.75pt;width:23.75pt;height:6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" fillcolor="#1e492e" stroked="f">
                <w10:wrap anchorx="page" anchory="page"/>
              </v:rect>
            </w:pict>
          </mc:Fallback>
        </mc:AlternateContent>
      </w:r>
      <w:r>
        <w:rPr>
          <w:noProof/>
          <w:sz w:val="20"/>
          <w:lang w:val="es-CO" w:eastAsia="es-CO"/>
        </w:rPr>
        <mc:AlternateContent>
          <mc:Choice Requires="wps">
            <w:drawing>
              <wp:anchor distT="0" distB="0" distL="114300" distR="114300" simplePos="0" relativeHeight="251657728" behindDoc="1" locked="0" layoutInCell="1" allowOverlap="1" wp14:anchorId="33FBEF8D" wp14:editId="3835492D">
                <wp:simplePos x="0" y="0"/>
                <wp:positionH relativeFrom="page">
                  <wp:posOffset>5619750</wp:posOffset>
                </wp:positionH>
                <wp:positionV relativeFrom="page">
                  <wp:posOffset>825500</wp:posOffset>
                </wp:positionV>
                <wp:extent cx="930275" cy="84105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84105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9CD8" id="Rectangle 8" o:spid="_x0000_s1026" style="position:absolute;margin-left:442.5pt;margin-top:65pt;width:73.25pt;height:66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" stroked="f">
                <w10:wrap anchorx="page" anchory="page"/>
              </v:rect>
            </w:pict>
          </mc:Fallback>
        </mc:AlternateContent>
      </w:r>
      <w:r>
        <w:rPr>
          <w:noProof/>
          <w:sz w:val="20"/>
          <w:lang w:val="es-CO" w:eastAsia="es-CO"/>
        </w:rPr>
        <mc:AlternateContent>
          <mc:Choice Requires="wps">
            <w:drawing>
              <wp:anchor distT="0" distB="0" distL="114300" distR="114300" simplePos="0" relativeHeight="251658752" behindDoc="1" locked="0" layoutInCell="1" allowOverlap="1" wp14:anchorId="6321B8EE" wp14:editId="13C74C5A">
                <wp:simplePos x="0" y="0"/>
                <wp:positionH relativeFrom="page">
                  <wp:posOffset>5619750</wp:posOffset>
                </wp:positionH>
                <wp:positionV relativeFrom="page">
                  <wp:posOffset>825500</wp:posOffset>
                </wp:positionV>
                <wp:extent cx="930275" cy="841057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8410575"/>
                        </a:xfrm>
                        <a:prstGeom prst="rect">
                          <a:avLst/>
                        </a:prstGeom>
                        <a:solidFill>
                          <a:srgbClr val="D1811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FA96" id="Rectangle 9" o:spid="_x0000_s1026" style="position:absolute;margin-left:442.5pt;margin-top:65pt;width:73.25pt;height:66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" fillcolor="#d18112" stroked="f">
                <w10:wrap anchorx="page" anchory="page"/>
              </v:rect>
            </w:pict>
          </mc:Fallback>
        </mc:AlternateContent>
      </w:r>
      <w:r>
        <w:rPr>
          <w:noProof/>
          <w:sz w:val="20"/>
          <w:lang w:val="es-CO" w:eastAsia="es-CO"/>
        </w:rPr>
        <mc:AlternateContent>
          <mc:Choice Requires="wps">
            <w:drawing>
              <wp:anchor distT="0" distB="0" distL="114300" distR="114300" simplePos="0" relativeHeight="251659776" behindDoc="1" locked="0" layoutInCell="1" allowOverlap="1" wp14:anchorId="1FC071F5" wp14:editId="201C5326">
                <wp:simplePos x="0" y="0"/>
                <wp:positionH relativeFrom="page">
                  <wp:posOffset>6527800</wp:posOffset>
                </wp:positionH>
                <wp:positionV relativeFrom="page">
                  <wp:posOffset>504825</wp:posOffset>
                </wp:positionV>
                <wp:extent cx="596900" cy="97028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9702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0844" id="Rectangle 10" o:spid="_x0000_s1026" style="position:absolute;margin-left:514pt;margin-top:39.75pt;width:47pt;height:7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" stroked="f">
                <w10:wrap anchorx="page" anchory="page"/>
              </v:rect>
            </w:pict>
          </mc:Fallback>
        </mc:AlternateContent>
      </w:r>
    </w:p>
    <w:p w14:paraId="7AE65798" w14:textId="22591C22" w:rsidR="007B7C69" w:rsidRPr="00C3537E" w:rsidRDefault="00CE012B">
      <w:pPr>
        <w:widowControl w:val="0"/>
        <w:autoSpaceDE w:val="0"/>
        <w:autoSpaceDN w:val="0"/>
        <w:adjustRightInd w:val="0"/>
        <w:spacing w:line="240" w:lineRule="atLeast"/>
        <w:ind w:left="8473" w:right="-20"/>
        <w:rPr>
          <w:rFonts w:ascii="Bookman Old Style" w:hAnsi="Bookman Old Style"/>
          <w:color w:val="000000"/>
          <w:sz w:val="26"/>
          <w:szCs w:val="26"/>
          <w:lang w:val="en-GB"/>
        </w:rPr>
      </w:pPr>
      <w:r>
        <w:rPr>
          <w:noProof/>
          <w:sz w:val="20"/>
          <w:lang w:val="es-CO" w:eastAsia="es-CO"/>
        </w:rPr>
        <mc:AlternateContent>
          <mc:Choice Requires="wps">
            <w:drawing>
              <wp:anchor distT="0" distB="0" distL="114300" distR="114300" simplePos="0" relativeHeight="251661824" behindDoc="1" locked="0" layoutInCell="1" allowOverlap="1" wp14:anchorId="34E08245" wp14:editId="516ECA70">
                <wp:simplePos x="0" y="0"/>
                <wp:positionH relativeFrom="page">
                  <wp:posOffset>3003550</wp:posOffset>
                </wp:positionH>
                <wp:positionV relativeFrom="page">
                  <wp:posOffset>4911725</wp:posOffset>
                </wp:positionV>
                <wp:extent cx="4064000" cy="1368425"/>
                <wp:effectExtent l="0" t="0" r="0" b="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0" cy="1368425"/>
                        </a:xfrm>
                        <a:custGeom>
                          <a:avLst/>
                          <a:gdLst>
                            <a:gd name="T0" fmla="*/ 6069 w 6400"/>
                            <a:gd name="T1" fmla="*/ 1 h 2155"/>
                            <a:gd name="T2" fmla="*/ 6153 w 6400"/>
                            <a:gd name="T3" fmla="*/ 18 h 2155"/>
                            <a:gd name="T4" fmla="*/ 6229 w 6400"/>
                            <a:gd name="T5" fmla="*/ 53 h 2155"/>
                            <a:gd name="T6" fmla="*/ 6294 w 6400"/>
                            <a:gd name="T7" fmla="*/ 105 h 2155"/>
                            <a:gd name="T8" fmla="*/ 6346 w 6400"/>
                            <a:gd name="T9" fmla="*/ 170 h 2155"/>
                            <a:gd name="T10" fmla="*/ 6381 w 6400"/>
                            <a:gd name="T11" fmla="*/ 246 h 2155"/>
                            <a:gd name="T12" fmla="*/ 6398 w 6400"/>
                            <a:gd name="T13" fmla="*/ 330 h 2155"/>
                            <a:gd name="T14" fmla="*/ 6400 w 6400"/>
                            <a:gd name="T15" fmla="*/ 360 h 2155"/>
                            <a:gd name="T16" fmla="*/ 6400 w 6400"/>
                            <a:gd name="T17" fmla="*/ 1795 h 2155"/>
                            <a:gd name="T18" fmla="*/ 6389 w 6400"/>
                            <a:gd name="T19" fmla="*/ 1881 h 2155"/>
                            <a:gd name="T20" fmla="*/ 6359 w 6400"/>
                            <a:gd name="T21" fmla="*/ 1960 h 2155"/>
                            <a:gd name="T22" fmla="*/ 6313 w 6400"/>
                            <a:gd name="T23" fmla="*/ 2029 h 2155"/>
                            <a:gd name="T24" fmla="*/ 6252 w 6400"/>
                            <a:gd name="T25" fmla="*/ 2085 h 2155"/>
                            <a:gd name="T26" fmla="*/ 6180 w 6400"/>
                            <a:gd name="T27" fmla="*/ 2126 h 2155"/>
                            <a:gd name="T28" fmla="*/ 6098 w 6400"/>
                            <a:gd name="T29" fmla="*/ 2150 h 2155"/>
                            <a:gd name="T30" fmla="*/ 6040 w 6400"/>
                            <a:gd name="T31" fmla="*/ 2155 h 2155"/>
                            <a:gd name="T32" fmla="*/ 360 w 6400"/>
                            <a:gd name="T33" fmla="*/ 2155 h 2155"/>
                            <a:gd name="T34" fmla="*/ 273 w 6400"/>
                            <a:gd name="T35" fmla="*/ 2144 h 2155"/>
                            <a:gd name="T36" fmla="*/ 194 w 6400"/>
                            <a:gd name="T37" fmla="*/ 2114 h 2155"/>
                            <a:gd name="T38" fmla="*/ 125 w 6400"/>
                            <a:gd name="T39" fmla="*/ 2068 h 2155"/>
                            <a:gd name="T40" fmla="*/ 69 w 6400"/>
                            <a:gd name="T41" fmla="*/ 2007 h 2155"/>
                            <a:gd name="T42" fmla="*/ 28 w 6400"/>
                            <a:gd name="T43" fmla="*/ 1935 h 2155"/>
                            <a:gd name="T44" fmla="*/ 4 w 6400"/>
                            <a:gd name="T45" fmla="*/ 1853 h 2155"/>
                            <a:gd name="T46" fmla="*/ 0 w 6400"/>
                            <a:gd name="T47" fmla="*/ 1795 h 2155"/>
                            <a:gd name="T48" fmla="*/ 0 w 6400"/>
                            <a:gd name="T49" fmla="*/ 360 h 2155"/>
                            <a:gd name="T50" fmla="*/ 10 w 6400"/>
                            <a:gd name="T51" fmla="*/ 273 h 2155"/>
                            <a:gd name="T52" fmla="*/ 40 w 6400"/>
                            <a:gd name="T53" fmla="*/ 194 h 2155"/>
                            <a:gd name="T54" fmla="*/ 86 w 6400"/>
                            <a:gd name="T55" fmla="*/ 125 h 2155"/>
                            <a:gd name="T56" fmla="*/ 147 w 6400"/>
                            <a:gd name="T57" fmla="*/ 69 h 2155"/>
                            <a:gd name="T58" fmla="*/ 219 w 6400"/>
                            <a:gd name="T59" fmla="*/ 28 h 2155"/>
                            <a:gd name="T60" fmla="*/ 301 w 6400"/>
                            <a:gd name="T61" fmla="*/ 4 h 2155"/>
                            <a:gd name="T62" fmla="*/ 360 w 6400"/>
                            <a:gd name="T63" fmla="*/ 0 h 2155"/>
                            <a:gd name="T64" fmla="*/ 6040 w 6400"/>
                            <a:gd name="T65" fmla="*/ 0 h 2155"/>
                            <a:gd name="T66" fmla="*/ 6069 w 6400"/>
                            <a:gd name="T67" fmla="*/ 1 h 2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00" h="2155">
                              <a:moveTo>
                                <a:pt x="6069" y="1"/>
                              </a:moveTo>
                              <a:lnTo>
                                <a:pt x="6153" y="18"/>
                              </a:lnTo>
                              <a:lnTo>
                                <a:pt x="6229" y="53"/>
                              </a:lnTo>
                              <a:lnTo>
                                <a:pt x="6294" y="105"/>
                              </a:lnTo>
                              <a:lnTo>
                                <a:pt x="6346" y="170"/>
                              </a:lnTo>
                              <a:lnTo>
                                <a:pt x="6381" y="246"/>
                              </a:lnTo>
                              <a:lnTo>
                                <a:pt x="6398" y="330"/>
                              </a:lnTo>
                              <a:lnTo>
                                <a:pt x="6400" y="360"/>
                              </a:lnTo>
                              <a:lnTo>
                                <a:pt x="6400" y="1795"/>
                              </a:lnTo>
                              <a:lnTo>
                                <a:pt x="6389" y="1881"/>
                              </a:lnTo>
                              <a:lnTo>
                                <a:pt x="6359" y="1960"/>
                              </a:lnTo>
                              <a:lnTo>
                                <a:pt x="6313" y="2029"/>
                              </a:lnTo>
                              <a:lnTo>
                                <a:pt x="6252" y="2085"/>
                              </a:lnTo>
                              <a:lnTo>
                                <a:pt x="6180" y="2126"/>
                              </a:lnTo>
                              <a:lnTo>
                                <a:pt x="6098" y="2150"/>
                              </a:lnTo>
                              <a:lnTo>
                                <a:pt x="6040" y="2155"/>
                              </a:lnTo>
                              <a:lnTo>
                                <a:pt x="360" y="2155"/>
                              </a:lnTo>
                              <a:lnTo>
                                <a:pt x="273" y="2144"/>
                              </a:lnTo>
                              <a:lnTo>
                                <a:pt x="194" y="2114"/>
                              </a:lnTo>
                              <a:lnTo>
                                <a:pt x="125" y="2068"/>
                              </a:lnTo>
                              <a:lnTo>
                                <a:pt x="69" y="2007"/>
                              </a:lnTo>
                              <a:lnTo>
                                <a:pt x="28" y="1935"/>
                              </a:lnTo>
                              <a:lnTo>
                                <a:pt x="4" y="1853"/>
                              </a:lnTo>
                              <a:lnTo>
                                <a:pt x="0" y="1795"/>
                              </a:lnTo>
                              <a:lnTo>
                                <a:pt x="0" y="360"/>
                              </a:lnTo>
                              <a:lnTo>
                                <a:pt x="10" y="273"/>
                              </a:lnTo>
                              <a:lnTo>
                                <a:pt x="40" y="194"/>
                              </a:lnTo>
                              <a:lnTo>
                                <a:pt x="86" y="125"/>
                              </a:lnTo>
                              <a:lnTo>
                                <a:pt x="147" y="69"/>
                              </a:lnTo>
                              <a:lnTo>
                                <a:pt x="219" y="28"/>
                              </a:lnTo>
                              <a:lnTo>
                                <a:pt x="301" y="4"/>
                              </a:lnTo>
                              <a:lnTo>
                                <a:pt x="360" y="0"/>
                              </a:lnTo>
                              <a:lnTo>
                                <a:pt x="6040" y="0"/>
                              </a:lnTo>
                              <a:lnTo>
                                <a:pt x="6069" y="1"/>
                              </a:lnTo>
                              <a:close/>
                            </a:path>
                          </a:pathLst>
                        </a:custGeom>
                        <a:solidFill>
                          <a:srgbClr val="F3DFC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2A75" id="Freeform 12" o:spid="_x0000_s1026" style="position:absolute;margin-left:236.5pt;margin-top:386.75pt;width:320pt;height:107.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00,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" path="m6069,1r84,17l6229,53r65,52l6346,170r35,76l6398,330r2,30l6400,1795r-11,86l6359,1960r-46,69l6252,2085r-72,41l6098,2150r-58,5l360,2155r-87,-11l194,2114r-69,-46l69,2007,28,1935,4,1853,,1795,,360,10,273,40,194,86,125,147,69,219,28,301,4,360,,6040,r29,1xe" fillcolor="#f3dfc3" stroked="f">
                <v:path arrowok="t" o:connecttype="custom" o:connectlocs="3853815,635;3907155,11430;3955415,33655;3996690,66675;4029710,107950;4051935,156210;4062730,209550;4064000,228600;4064000,1139825;4057015,1194435;4037965,1244600;4008755,1288415;3970020,1323975;3924300,1350010;3872230,1365250;3835400,1368425;228600,1368425;173355,1361440;123190,1342390;79375,1313180;43815,1274445;17780,1228725;2540,1176655;0,1139825;0,228600;6350,173355;25400,123190;54610,79375;93345,43815;139065,17780;191135,2540;228600,0;3835400,0;3853815,635" o:connectangles="0,0,0,0,0,0,0,0,0,0,0,0,0,0,0,0,0,0,0,0,0,0,0,0,0,0,0,0,0,0,0,0,0,0"/>
                <w10:wrap anchorx="page" anchory="page"/>
              </v:shape>
            </w:pict>
          </mc:Fallback>
        </mc:AlternateContent>
      </w:r>
      <w:r>
        <w:rPr>
          <w:noProof/>
          <w:sz w:val="20"/>
          <w:lang w:val="es-CO" w:eastAsia="es-CO"/>
        </w:rPr>
        <mc:AlternateContent>
          <mc:Choice Requires="wps">
            <w:drawing>
              <wp:anchor distT="0" distB="0" distL="114300" distR="114300" simplePos="0" relativeHeight="251662848" behindDoc="1" locked="0" layoutInCell="1" allowOverlap="1" wp14:anchorId="23F268BC" wp14:editId="7E502A95">
                <wp:simplePos x="0" y="0"/>
                <wp:positionH relativeFrom="page">
                  <wp:posOffset>4851400</wp:posOffset>
                </wp:positionH>
                <wp:positionV relativeFrom="page">
                  <wp:posOffset>4911725</wp:posOffset>
                </wp:positionV>
                <wp:extent cx="2273300" cy="136842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0" cy="13684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DABB" id="Rectangle 13" o:spid="_x0000_s1026" style="position:absolute;margin-left:382pt;margin-top:386.75pt;width:179pt;height:107.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" stroked="f">
                <w10:wrap anchorx="page" anchory="page"/>
              </v:rect>
            </w:pict>
          </mc:Fallback>
        </mc:AlternateContent>
      </w:r>
      <w:r>
        <w:rPr>
          <w:noProof/>
          <w:sz w:val="20"/>
          <w:lang w:val="es-CO" w:eastAsia="es-CO"/>
        </w:rPr>
        <mc:AlternateContent>
          <mc:Choice Requires="wps">
            <w:drawing>
              <wp:anchor distT="0" distB="0" distL="114300" distR="114300" simplePos="0" relativeHeight="251663872" behindDoc="1" locked="0" layoutInCell="1" allowOverlap="1" wp14:anchorId="25A8BBB5" wp14:editId="2DD823AC">
                <wp:simplePos x="0" y="0"/>
                <wp:positionH relativeFrom="page">
                  <wp:posOffset>4851400</wp:posOffset>
                </wp:positionH>
                <wp:positionV relativeFrom="page">
                  <wp:posOffset>4911725</wp:posOffset>
                </wp:positionV>
                <wp:extent cx="2273300" cy="136842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0" cy="1368425"/>
                        </a:xfrm>
                        <a:prstGeom prst="rect">
                          <a:avLst/>
                        </a:prstGeom>
                        <a:solidFill>
                          <a:srgbClr val="F3DFC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2989F" id="Rectangle 14" o:spid="_x0000_s1026" style="position:absolute;margin-left:382pt;margin-top:386.75pt;width:179pt;height:107.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" fillcolor="#f3dfc3" stroked="f">
                <w10:wrap anchorx="page" anchory="page"/>
              </v:rect>
            </w:pict>
          </mc:Fallback>
        </mc:AlternateContent>
      </w:r>
    </w:p>
    <w:p w14:paraId="71BB5BD3" w14:textId="77777777" w:rsidR="007B7C69" w:rsidRPr="00C3537E" w:rsidRDefault="007B7C69">
      <w:pPr>
        <w:rPr>
          <w:lang w:val="en-GB"/>
        </w:rPr>
      </w:pPr>
      <w:r w:rsidRPr="00C3537E">
        <w:rPr>
          <w:lang w:val="en-GB"/>
        </w:rPr>
        <w:br w:type="page"/>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6291"/>
      </w:tblGrid>
      <w:tr w:rsidR="007B7C69" w:rsidRPr="00C3537E" w14:paraId="1C01093E" w14:textId="77777777" w:rsidTr="00E21D8E">
        <w:tc>
          <w:tcPr>
            <w:tcW w:w="8330" w:type="dxa"/>
            <w:gridSpan w:val="2"/>
            <w:tcBorders>
              <w:bottom w:val="nil"/>
            </w:tcBorders>
            <w:shd w:val="clear" w:color="auto" w:fill="61243B"/>
          </w:tcPr>
          <w:p w14:paraId="3BBEA65D" w14:textId="77777777" w:rsidR="007B7C69" w:rsidRPr="00C3537E" w:rsidRDefault="007B7C69">
            <w:pPr>
              <w:pStyle w:val="BoldCapCenter"/>
              <w:spacing w:before="240"/>
              <w:rPr>
                <w:rFonts w:ascii="Arial" w:hAnsi="Arial" w:cs="Arial"/>
                <w:i/>
                <w:iCs/>
                <w:caps w:val="0"/>
                <w:color w:val="FFFFFF"/>
                <w:sz w:val="32"/>
                <w:lang w:val="en-GB"/>
              </w:rPr>
            </w:pPr>
            <w:r w:rsidRPr="00C3537E">
              <w:rPr>
                <w:rFonts w:ascii="Arial" w:hAnsi="Arial" w:cs="Arial"/>
                <w:color w:val="FFFFFF"/>
                <w:sz w:val="32"/>
                <w:lang w:val="en-GB"/>
              </w:rPr>
              <w:lastRenderedPageBreak/>
              <w:t>ICN anti-cartel enforcement template</w:t>
            </w:r>
          </w:p>
        </w:tc>
      </w:tr>
      <w:tr w:rsidR="007B7C69" w:rsidRPr="00C3537E" w14:paraId="2730A3AA" w14:textId="77777777" w:rsidTr="00E21D8E">
        <w:tc>
          <w:tcPr>
            <w:tcW w:w="8330" w:type="dxa"/>
            <w:gridSpan w:val="2"/>
            <w:tcBorders>
              <w:top w:val="single" w:sz="4" w:space="0" w:color="auto"/>
              <w:left w:val="nil"/>
              <w:bottom w:val="single" w:sz="4" w:space="0" w:color="auto"/>
              <w:right w:val="nil"/>
            </w:tcBorders>
          </w:tcPr>
          <w:p w14:paraId="6ECC3FA0" w14:textId="77777777" w:rsidR="007B7C69" w:rsidRPr="00C3537E" w:rsidRDefault="007B7C69">
            <w:pPr>
              <w:pStyle w:val="BoldCapCenter"/>
              <w:keepNext w:val="0"/>
              <w:spacing w:before="240"/>
              <w:rPr>
                <w:rFonts w:ascii="Arial" w:hAnsi="Arial" w:cs="Arial"/>
                <w:caps w:val="0"/>
                <w:color w:val="62243C"/>
                <w:lang w:val="en-GB"/>
              </w:rPr>
            </w:pPr>
          </w:p>
          <w:p w14:paraId="2CB1CE7E" w14:textId="77777777" w:rsidR="007B7C69" w:rsidRPr="00C3537E" w:rsidRDefault="007B7C69">
            <w:pPr>
              <w:pStyle w:val="BoldCapCenter"/>
              <w:keepNext w:val="0"/>
              <w:spacing w:before="240"/>
              <w:rPr>
                <w:rFonts w:ascii="Arial" w:hAnsi="Arial" w:cs="Arial"/>
                <w:caps w:val="0"/>
                <w:color w:val="62243C"/>
                <w:lang w:val="en-GB"/>
              </w:rPr>
            </w:pPr>
            <w:r w:rsidRPr="00C3537E">
              <w:rPr>
                <w:rFonts w:ascii="Arial" w:hAnsi="Arial" w:cs="Arial"/>
                <w:caps w:val="0"/>
                <w:color w:val="62243C"/>
                <w:lang w:val="en-GB"/>
              </w:rPr>
              <w:t xml:space="preserve">IMPORTANT NOTES: </w:t>
            </w:r>
          </w:p>
          <w:p w14:paraId="3C4B8ADF" w14:textId="77777777" w:rsidR="007B7C69" w:rsidRPr="00C3537E" w:rsidRDefault="007B7C69" w:rsidP="00403E7E">
            <w:pPr>
              <w:pStyle w:val="BoldCapCenter"/>
              <w:keepNext w:val="0"/>
              <w:spacing w:before="240"/>
              <w:rPr>
                <w:rFonts w:ascii="Arial" w:hAnsi="Arial" w:cs="Arial"/>
                <w:caps w:val="0"/>
                <w:color w:val="62243C"/>
                <w:lang w:val="en-GB"/>
              </w:rPr>
            </w:pPr>
            <w:r w:rsidRPr="00C3537E">
              <w:rPr>
                <w:rFonts w:ascii="Arial" w:hAnsi="Arial" w:cs="Arial"/>
                <w:caps w:val="0"/>
                <w:color w:val="62243C"/>
                <w:lang w:val="en-GB"/>
              </w:rPr>
              <w:t xml:space="preserve">This template is intended to provide information for the ICN member competition agencies about each other’s legislation concerning </w:t>
            </w:r>
            <w:r w:rsidR="00460A96">
              <w:rPr>
                <w:rFonts w:ascii="Arial" w:hAnsi="Arial" w:cs="Arial"/>
                <w:caps w:val="0"/>
                <w:color w:val="62243C"/>
                <w:lang w:val="en-GB"/>
              </w:rPr>
              <w:t xml:space="preserve">anti-competitive practices, particularly </w:t>
            </w:r>
            <w:r w:rsidRPr="00C3537E">
              <w:rPr>
                <w:rFonts w:ascii="Arial" w:hAnsi="Arial" w:cs="Arial"/>
                <w:caps w:val="0"/>
                <w:color w:val="62243C"/>
                <w:lang w:val="en-GB"/>
              </w:rPr>
              <w:t xml:space="preserve">hardcore cartels. At the same time the template supplies information for businesses participating in cartel activities about the rules applicable to them; moreover, it enables businesses </w:t>
            </w:r>
            <w:r w:rsidR="00460A96">
              <w:rPr>
                <w:rFonts w:ascii="Arial" w:hAnsi="Arial" w:cs="Arial"/>
                <w:caps w:val="0"/>
                <w:color w:val="62243C"/>
                <w:lang w:val="en-GB"/>
              </w:rPr>
              <w:t xml:space="preserve">and individuals </w:t>
            </w:r>
            <w:r w:rsidRPr="00C3537E">
              <w:rPr>
                <w:rFonts w:ascii="Arial" w:hAnsi="Arial" w:cs="Arial"/>
                <w:caps w:val="0"/>
                <w:color w:val="62243C"/>
                <w:lang w:val="en-GB"/>
              </w:rPr>
              <w:t xml:space="preserve">which suffer from cartel activity to get information about the possibilities of </w:t>
            </w:r>
            <w:r w:rsidR="00460A96">
              <w:rPr>
                <w:rFonts w:ascii="Arial" w:hAnsi="Arial" w:cs="Arial"/>
                <w:caps w:val="0"/>
                <w:color w:val="62243C"/>
                <w:lang w:val="en-GB"/>
              </w:rPr>
              <w:t>enforcement of their rights</w:t>
            </w:r>
            <w:r w:rsidR="004A7A14">
              <w:rPr>
                <w:rFonts w:ascii="Arial" w:hAnsi="Arial" w:cs="Arial"/>
                <w:caps w:val="0"/>
                <w:color w:val="62243C"/>
                <w:lang w:val="en-GB"/>
              </w:rPr>
              <w:t xml:space="preserve"> in private law</w:t>
            </w:r>
            <w:r w:rsidRPr="00C3537E">
              <w:rPr>
                <w:rFonts w:ascii="Arial" w:hAnsi="Arial" w:cs="Arial"/>
                <w:caps w:val="0"/>
                <w:color w:val="62243C"/>
                <w:lang w:val="en-GB"/>
              </w:rPr>
              <w:t xml:space="preserve"> in one or more jurisdictions.</w:t>
            </w:r>
          </w:p>
          <w:p w14:paraId="391B5159" w14:textId="77777777" w:rsidR="007B7C69" w:rsidRPr="00C3537E" w:rsidRDefault="007B7C69">
            <w:pPr>
              <w:pStyle w:val="BoldCapCenter"/>
              <w:keepNext w:val="0"/>
              <w:spacing w:before="240"/>
              <w:rPr>
                <w:rFonts w:ascii="Arial" w:hAnsi="Arial" w:cs="Arial"/>
                <w:caps w:val="0"/>
                <w:color w:val="62243C"/>
                <w:lang w:val="en-GB"/>
              </w:rPr>
            </w:pPr>
            <w:r w:rsidRPr="00C3537E">
              <w:rPr>
                <w:rFonts w:ascii="Arial" w:hAnsi="Arial" w:cs="Arial"/>
                <w:caps w:val="0"/>
                <w:color w:val="62243C"/>
                <w:lang w:val="en-GB"/>
              </w:rPr>
              <w:t>Reading the template is not a substitute for consulting the referenced statutes and regulations. This template should be a starting point only.</w:t>
            </w:r>
          </w:p>
          <w:p w14:paraId="680C8FFB" w14:textId="77777777" w:rsidR="007B7C69" w:rsidRPr="00C3537E" w:rsidRDefault="007B7C69">
            <w:pPr>
              <w:pStyle w:val="Textoindependiente"/>
              <w:ind w:left="0"/>
              <w:jc w:val="center"/>
              <w:rPr>
                <w:rFonts w:ascii="Arial" w:hAnsi="Arial" w:cs="Arial"/>
                <w:b/>
                <w:bCs/>
                <w:lang w:val="en-GB"/>
              </w:rPr>
            </w:pPr>
            <w:r w:rsidRPr="00C3537E">
              <w:rPr>
                <w:rFonts w:ascii="Arial" w:hAnsi="Arial" w:cs="Arial"/>
                <w:b/>
                <w:bCs/>
                <w:lang w:val="en-GB"/>
              </w:rPr>
              <w:t>[Please include, where applicable, any references to relevant statutory provisions, regulations or policies as well as references to publicly accessible sources, if any.]</w:t>
            </w:r>
            <w:r w:rsidRPr="00C3537E">
              <w:rPr>
                <w:rStyle w:val="Refdenotaalpie"/>
                <w:rFonts w:cs="Arial"/>
                <w:b/>
                <w:bCs/>
                <w:lang w:val="en-GB"/>
              </w:rPr>
              <w:footnoteReference w:id="2"/>
            </w:r>
          </w:p>
          <w:p w14:paraId="44FC896B" w14:textId="77777777" w:rsidR="007B7C69" w:rsidRPr="00C3537E" w:rsidRDefault="007B7C69">
            <w:pPr>
              <w:rPr>
                <w:rFonts w:ascii="Arial" w:hAnsi="Arial" w:cs="Arial"/>
                <w:b/>
                <w:color w:val="800000"/>
                <w:lang w:val="en-GB"/>
              </w:rPr>
            </w:pPr>
          </w:p>
        </w:tc>
      </w:tr>
      <w:tr w:rsidR="007B7C69" w:rsidRPr="00C3537E" w14:paraId="2E0FC735" w14:textId="77777777" w:rsidTr="00E21D8E">
        <w:tc>
          <w:tcPr>
            <w:tcW w:w="8330" w:type="dxa"/>
            <w:gridSpan w:val="2"/>
            <w:tcBorders>
              <w:top w:val="single" w:sz="4" w:space="0" w:color="auto"/>
              <w:left w:val="nil"/>
              <w:bottom w:val="nil"/>
              <w:right w:val="nil"/>
            </w:tcBorders>
          </w:tcPr>
          <w:p w14:paraId="100389C7" w14:textId="77777777" w:rsidR="007B7C69" w:rsidRPr="00C3537E" w:rsidRDefault="007B7C69">
            <w:pPr>
              <w:pStyle w:val="Ttulo1"/>
              <w:numPr>
                <w:ilvl w:val="0"/>
                <w:numId w:val="0"/>
              </w:numPr>
              <w:rPr>
                <w:rFonts w:ascii="Arial" w:hAnsi="Arial" w:cs="Arial"/>
                <w:color w:val="FFFFFF"/>
                <w:sz w:val="16"/>
                <w:lang w:val="en-GB"/>
              </w:rPr>
            </w:pPr>
          </w:p>
          <w:p w14:paraId="72C942AC" w14:textId="77777777" w:rsidR="007B7C69" w:rsidRPr="00C3537E" w:rsidRDefault="007B7C69">
            <w:pPr>
              <w:pStyle w:val="Textoindependiente"/>
              <w:rPr>
                <w:rFonts w:ascii="Arial" w:hAnsi="Arial" w:cs="Arial"/>
                <w:lang w:val="en-GB"/>
              </w:rPr>
            </w:pPr>
          </w:p>
        </w:tc>
      </w:tr>
      <w:tr w:rsidR="007B7C69" w:rsidRPr="00C3537E" w14:paraId="4EB8834A" w14:textId="77777777" w:rsidTr="00E21D8E">
        <w:tc>
          <w:tcPr>
            <w:tcW w:w="8330" w:type="dxa"/>
            <w:gridSpan w:val="2"/>
            <w:tcBorders>
              <w:top w:val="nil"/>
              <w:left w:val="nil"/>
              <w:bottom w:val="nil"/>
              <w:right w:val="nil"/>
            </w:tcBorders>
            <w:shd w:val="clear" w:color="auto" w:fill="61243B"/>
          </w:tcPr>
          <w:p w14:paraId="2E5A0682"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t>Information on the law relating to cartels</w:t>
            </w:r>
          </w:p>
        </w:tc>
      </w:tr>
      <w:tr w:rsidR="007B7C69" w:rsidRPr="00C3537E" w14:paraId="39147A17" w14:textId="77777777" w:rsidTr="00E21D8E">
        <w:tc>
          <w:tcPr>
            <w:tcW w:w="2039" w:type="dxa"/>
            <w:tcBorders>
              <w:left w:val="nil"/>
            </w:tcBorders>
            <w:shd w:val="clear" w:color="auto" w:fill="F3DFC3"/>
          </w:tcPr>
          <w:p w14:paraId="17919476" w14:textId="77777777" w:rsidR="007B7C69" w:rsidRPr="00C3537E" w:rsidRDefault="007B7C69" w:rsidP="007B7C69">
            <w:pPr>
              <w:numPr>
                <w:ilvl w:val="0"/>
                <w:numId w:val="12"/>
              </w:numPr>
              <w:spacing w:before="120" w:after="120"/>
              <w:rPr>
                <w:rFonts w:ascii="Arial" w:hAnsi="Arial" w:cs="Arial"/>
                <w:b/>
                <w:bCs/>
                <w:sz w:val="20"/>
                <w:lang w:val="en-GB"/>
              </w:rPr>
            </w:pPr>
            <w:r w:rsidRPr="00C3537E">
              <w:rPr>
                <w:rFonts w:ascii="Arial" w:hAnsi="Arial" w:cs="Arial"/>
                <w:b/>
                <w:bCs/>
                <w:sz w:val="20"/>
                <w:lang w:val="en-GB"/>
              </w:rPr>
              <w:t>Law(s) covering cartels: [availability (homepage address) and indication of the languages in which these materials are available]</w:t>
            </w:r>
          </w:p>
        </w:tc>
        <w:tc>
          <w:tcPr>
            <w:tcW w:w="6291" w:type="dxa"/>
            <w:tcBorders>
              <w:right w:val="nil"/>
            </w:tcBorders>
          </w:tcPr>
          <w:p w14:paraId="46F93FE5" w14:textId="77777777" w:rsidR="0022346E" w:rsidRPr="000C3D95" w:rsidRDefault="0022346E" w:rsidP="0022346E">
            <w:pPr>
              <w:jc w:val="both"/>
              <w:rPr>
                <w:rFonts w:ascii="Arial" w:hAnsi="Arial" w:cs="Arial"/>
                <w:sz w:val="20"/>
                <w:szCs w:val="20"/>
                <w:lang w:val="en-GB"/>
              </w:rPr>
            </w:pPr>
            <w:r w:rsidRPr="000C3D95">
              <w:rPr>
                <w:rFonts w:ascii="Arial" w:hAnsi="Arial" w:cs="Arial"/>
                <w:sz w:val="20"/>
                <w:szCs w:val="20"/>
                <w:lang w:val="en-GB"/>
              </w:rPr>
              <w:t xml:space="preserve">Law 155 of 1959 (article 1: general prohibition). Available on: </w:t>
            </w:r>
            <w:hyperlink r:id="rId9" w:history="1">
              <w:r w:rsidRPr="000C3D95">
                <w:rPr>
                  <w:rStyle w:val="Hipervnculo"/>
                  <w:rFonts w:ascii="Arial" w:hAnsi="Arial" w:cs="Arial"/>
                  <w:sz w:val="20"/>
                  <w:szCs w:val="20"/>
                  <w:lang w:val="en-GB"/>
                </w:rPr>
                <w:t>http://www.alcaldiabogota.gov.co/sisjur/normas/Norma1.jsp?i=38169</w:t>
              </w:r>
            </w:hyperlink>
            <w:r w:rsidRPr="000C3D95">
              <w:rPr>
                <w:rFonts w:ascii="Arial" w:hAnsi="Arial" w:cs="Arial"/>
                <w:sz w:val="20"/>
                <w:szCs w:val="20"/>
                <w:lang w:val="en-GB"/>
              </w:rPr>
              <w:t xml:space="preserve"> (Spanish)</w:t>
            </w:r>
          </w:p>
          <w:p w14:paraId="6315038A" w14:textId="77777777" w:rsidR="0022346E" w:rsidRPr="000C3D95" w:rsidRDefault="0022346E" w:rsidP="0022346E">
            <w:pPr>
              <w:jc w:val="both"/>
              <w:rPr>
                <w:rFonts w:ascii="Arial" w:hAnsi="Arial" w:cs="Arial"/>
                <w:sz w:val="20"/>
                <w:szCs w:val="20"/>
                <w:lang w:val="en-GB"/>
              </w:rPr>
            </w:pPr>
          </w:p>
          <w:p w14:paraId="3835ACAF" w14:textId="77777777" w:rsidR="0022346E" w:rsidRPr="000C3D95" w:rsidRDefault="0022346E" w:rsidP="0022346E">
            <w:pPr>
              <w:jc w:val="both"/>
              <w:rPr>
                <w:rFonts w:ascii="Arial" w:hAnsi="Arial" w:cs="Arial"/>
                <w:sz w:val="20"/>
                <w:szCs w:val="20"/>
                <w:lang w:val="en-GB"/>
              </w:rPr>
            </w:pPr>
            <w:r w:rsidRPr="000C3D95">
              <w:rPr>
                <w:rFonts w:ascii="Arial" w:hAnsi="Arial" w:cs="Arial"/>
                <w:sz w:val="20"/>
                <w:szCs w:val="20"/>
                <w:lang w:val="en-GB"/>
              </w:rPr>
              <w:t>Decree 2153 of 1992 (article 47</w:t>
            </w:r>
            <w:r w:rsidR="00E45DDF">
              <w:rPr>
                <w:rFonts w:ascii="Arial" w:hAnsi="Arial" w:cs="Arial"/>
                <w:sz w:val="20"/>
                <w:szCs w:val="20"/>
                <w:lang w:val="en-GB"/>
              </w:rPr>
              <w:t xml:space="preserve"> and 49</w:t>
            </w:r>
            <w:r w:rsidRPr="000C3D95">
              <w:rPr>
                <w:rFonts w:ascii="Arial" w:hAnsi="Arial" w:cs="Arial"/>
                <w:sz w:val="20"/>
                <w:szCs w:val="20"/>
                <w:lang w:val="en-GB"/>
              </w:rPr>
              <w:t>: anticompetitive agreements</w:t>
            </w:r>
            <w:r w:rsidR="00E45DDF">
              <w:rPr>
                <w:rFonts w:ascii="Arial" w:hAnsi="Arial" w:cs="Arial"/>
                <w:sz w:val="20"/>
                <w:szCs w:val="20"/>
                <w:lang w:val="en-GB"/>
              </w:rPr>
              <w:t xml:space="preserve"> and exceptions</w:t>
            </w:r>
            <w:r w:rsidRPr="000C3D95">
              <w:rPr>
                <w:rFonts w:ascii="Arial" w:hAnsi="Arial" w:cs="Arial"/>
                <w:sz w:val="20"/>
                <w:szCs w:val="20"/>
                <w:lang w:val="en-GB"/>
              </w:rPr>
              <w:t xml:space="preserve">). Available on: </w:t>
            </w:r>
            <w:hyperlink r:id="rId10" w:history="1">
              <w:r w:rsidRPr="000C3D95">
                <w:rPr>
                  <w:rStyle w:val="Hipervnculo"/>
                  <w:rFonts w:ascii="Arial" w:hAnsi="Arial" w:cs="Arial"/>
                  <w:sz w:val="20"/>
                  <w:szCs w:val="20"/>
                  <w:lang w:val="en-GB"/>
                </w:rPr>
                <w:t>http://www.alcaldiabogota.gov.co/sisjur/normas/Norma1.jsp?i=38168</w:t>
              </w:r>
            </w:hyperlink>
            <w:r w:rsidRPr="000C3D95">
              <w:rPr>
                <w:rFonts w:ascii="Arial" w:hAnsi="Arial" w:cs="Arial"/>
                <w:sz w:val="20"/>
                <w:szCs w:val="20"/>
                <w:lang w:val="en-GB"/>
              </w:rPr>
              <w:t xml:space="preserve"> (Spanish). </w:t>
            </w:r>
          </w:p>
          <w:p w14:paraId="7E2E9075" w14:textId="77777777" w:rsidR="0022346E" w:rsidRPr="000C3D95" w:rsidRDefault="0022346E" w:rsidP="0022346E">
            <w:pPr>
              <w:jc w:val="both"/>
              <w:rPr>
                <w:rFonts w:ascii="Arial" w:hAnsi="Arial" w:cs="Arial"/>
                <w:sz w:val="20"/>
                <w:szCs w:val="20"/>
                <w:lang w:val="en-GB"/>
              </w:rPr>
            </w:pPr>
          </w:p>
          <w:p w14:paraId="5B68E55E" w14:textId="77777777" w:rsidR="0022346E" w:rsidRPr="000C3D95" w:rsidRDefault="0022346E" w:rsidP="0022346E">
            <w:pPr>
              <w:jc w:val="both"/>
              <w:rPr>
                <w:rFonts w:ascii="Arial" w:hAnsi="Arial" w:cs="Arial"/>
                <w:sz w:val="20"/>
                <w:szCs w:val="20"/>
                <w:lang w:val="en-GB"/>
              </w:rPr>
            </w:pPr>
            <w:r w:rsidRPr="000C3D95">
              <w:rPr>
                <w:rFonts w:ascii="Arial" w:hAnsi="Arial" w:cs="Arial"/>
                <w:sz w:val="20"/>
                <w:szCs w:val="20"/>
                <w:lang w:val="en-GB"/>
              </w:rPr>
              <w:t xml:space="preserve">Law 1340 of 2009 (procedural provisions, leniency program and fines). Available on: </w:t>
            </w:r>
            <w:hyperlink r:id="rId11" w:history="1">
              <w:r w:rsidRPr="000C3D95">
                <w:rPr>
                  <w:rStyle w:val="Hipervnculo"/>
                  <w:rFonts w:ascii="Arial" w:hAnsi="Arial" w:cs="Arial"/>
                  <w:sz w:val="20"/>
                  <w:szCs w:val="20"/>
                  <w:lang w:val="en-GB"/>
                </w:rPr>
                <w:t>http://www.alcaldiabogota.gov.co/sisjur/normas/Norma1.jsp?i=36912</w:t>
              </w:r>
            </w:hyperlink>
            <w:r w:rsidRPr="000C3D95">
              <w:rPr>
                <w:rFonts w:ascii="Arial" w:hAnsi="Arial" w:cs="Arial"/>
                <w:sz w:val="20"/>
                <w:szCs w:val="20"/>
                <w:lang w:val="en-GB"/>
              </w:rPr>
              <w:t xml:space="preserve"> (Spanish).</w:t>
            </w:r>
          </w:p>
          <w:p w14:paraId="62343391" w14:textId="77777777" w:rsidR="0022346E" w:rsidRPr="000C3D95" w:rsidRDefault="0022346E" w:rsidP="0022346E">
            <w:pPr>
              <w:jc w:val="both"/>
              <w:rPr>
                <w:rFonts w:ascii="Arial" w:hAnsi="Arial" w:cs="Arial"/>
                <w:sz w:val="20"/>
                <w:szCs w:val="20"/>
                <w:lang w:val="en-GB"/>
              </w:rPr>
            </w:pPr>
          </w:p>
          <w:p w14:paraId="07AB3B83" w14:textId="77777777" w:rsidR="0022346E" w:rsidRPr="000C3D95" w:rsidRDefault="0022346E" w:rsidP="0022346E">
            <w:pPr>
              <w:jc w:val="both"/>
              <w:rPr>
                <w:rFonts w:ascii="Arial" w:hAnsi="Arial" w:cs="Arial"/>
                <w:sz w:val="20"/>
                <w:szCs w:val="20"/>
                <w:lang w:val="en-GB"/>
              </w:rPr>
            </w:pPr>
            <w:r w:rsidRPr="000C3D95">
              <w:rPr>
                <w:rFonts w:ascii="Arial" w:hAnsi="Arial" w:cs="Arial"/>
                <w:sz w:val="20"/>
                <w:szCs w:val="20"/>
                <w:lang w:val="en-GB"/>
              </w:rPr>
              <w:t xml:space="preserve">Decree 4886 of 2011 (powers of the SIC). Available on: </w:t>
            </w:r>
            <w:hyperlink r:id="rId12" w:history="1">
              <w:r w:rsidRPr="000C3D95">
                <w:rPr>
                  <w:rStyle w:val="Hipervnculo"/>
                  <w:rFonts w:ascii="Arial" w:hAnsi="Arial" w:cs="Arial"/>
                  <w:sz w:val="20"/>
                  <w:szCs w:val="20"/>
                  <w:lang w:val="en-GB"/>
                </w:rPr>
                <w:t>http://www.secretariasenado.gov.co/senado/basedoc/decreto_4886_2011.html</w:t>
              </w:r>
            </w:hyperlink>
            <w:r w:rsidRPr="000C3D95">
              <w:rPr>
                <w:rFonts w:ascii="Arial" w:hAnsi="Arial" w:cs="Arial"/>
                <w:sz w:val="20"/>
                <w:szCs w:val="20"/>
                <w:lang w:val="en-GB"/>
              </w:rPr>
              <w:t xml:space="preserve"> (Spanish).</w:t>
            </w:r>
          </w:p>
          <w:p w14:paraId="4F16D167" w14:textId="77777777" w:rsidR="0022346E" w:rsidRPr="000C3D95" w:rsidRDefault="0022346E" w:rsidP="0022346E">
            <w:pPr>
              <w:jc w:val="both"/>
              <w:rPr>
                <w:rFonts w:ascii="Arial" w:hAnsi="Arial" w:cs="Arial"/>
                <w:sz w:val="20"/>
                <w:szCs w:val="20"/>
                <w:lang w:val="en-GB"/>
              </w:rPr>
            </w:pPr>
          </w:p>
          <w:p w14:paraId="396C3AD4" w14:textId="77777777" w:rsidR="0022346E" w:rsidRPr="000C3D95" w:rsidRDefault="0022346E" w:rsidP="0022346E">
            <w:pPr>
              <w:jc w:val="both"/>
              <w:rPr>
                <w:rFonts w:ascii="Arial" w:hAnsi="Arial" w:cs="Arial"/>
                <w:sz w:val="20"/>
                <w:szCs w:val="20"/>
                <w:lang w:val="en-GB"/>
              </w:rPr>
            </w:pPr>
            <w:r w:rsidRPr="000C3D95">
              <w:rPr>
                <w:rFonts w:ascii="Arial" w:hAnsi="Arial" w:cs="Arial"/>
                <w:sz w:val="20"/>
                <w:szCs w:val="20"/>
                <w:lang w:val="en-GB"/>
              </w:rPr>
              <w:lastRenderedPageBreak/>
              <w:t xml:space="preserve">Law 599 of 2000 (article 410A criminal sanction of bid rigging) Available on: </w:t>
            </w:r>
            <w:hyperlink r:id="rId13" w:history="1">
              <w:r w:rsidRPr="00F070B6">
                <w:rPr>
                  <w:rStyle w:val="Hipervnculo"/>
                  <w:rFonts w:ascii="Arial" w:hAnsi="Arial" w:cs="Arial"/>
                  <w:sz w:val="20"/>
                  <w:szCs w:val="20"/>
                  <w:lang w:val="en-GB"/>
                </w:rPr>
                <w:t>http://www.alcaldiabogota.gov.co/sisjur/normas/Norma1.jsp?i=6388</w:t>
              </w:r>
            </w:hyperlink>
            <w:r w:rsidRPr="00837152">
              <w:rPr>
                <w:rFonts w:ascii="Arial" w:hAnsi="Arial" w:cs="Arial"/>
                <w:spacing w:val="8"/>
                <w:sz w:val="20"/>
                <w:szCs w:val="20"/>
                <w:shd w:val="clear" w:color="auto" w:fill="FFFFFF"/>
                <w:lang w:val="en-GB"/>
              </w:rPr>
              <w:t>(Spanish).</w:t>
            </w:r>
          </w:p>
          <w:p w14:paraId="0819ABC3" w14:textId="77777777" w:rsidR="0022346E" w:rsidRPr="000C3D95" w:rsidRDefault="0022346E" w:rsidP="0022346E">
            <w:pPr>
              <w:spacing w:before="120"/>
              <w:jc w:val="both"/>
              <w:rPr>
                <w:rFonts w:ascii="Arial" w:hAnsi="Arial" w:cs="Arial"/>
                <w:sz w:val="20"/>
                <w:lang w:val="en-GB"/>
              </w:rPr>
            </w:pPr>
          </w:p>
          <w:p w14:paraId="5BDF1C06" w14:textId="77777777" w:rsidR="0022346E" w:rsidRPr="00837152" w:rsidRDefault="0022346E" w:rsidP="0022346E">
            <w:pPr>
              <w:jc w:val="both"/>
              <w:rPr>
                <w:rFonts w:ascii="Arial" w:hAnsi="Arial" w:cs="Arial"/>
                <w:spacing w:val="8"/>
                <w:sz w:val="20"/>
                <w:szCs w:val="20"/>
                <w:shd w:val="clear" w:color="auto" w:fill="FFFFFF"/>
                <w:lang w:val="en-GB"/>
              </w:rPr>
            </w:pPr>
            <w:r w:rsidRPr="00837152">
              <w:rPr>
                <w:rFonts w:ascii="Arial" w:hAnsi="Arial" w:cs="Arial"/>
                <w:sz w:val="20"/>
                <w:szCs w:val="20"/>
                <w:lang w:val="en-GB"/>
              </w:rPr>
              <w:t xml:space="preserve">Decree </w:t>
            </w:r>
            <w:r w:rsidRPr="00837152">
              <w:rPr>
                <w:rFonts w:ascii="Arial" w:hAnsi="Arial" w:cs="Arial"/>
                <w:spacing w:val="8"/>
                <w:sz w:val="20"/>
                <w:szCs w:val="20"/>
                <w:shd w:val="clear" w:color="auto" w:fill="FFFFFF"/>
                <w:lang w:val="en-GB"/>
              </w:rPr>
              <w:t xml:space="preserve">1523 of 2015 (Leniency Programme). Available on: </w:t>
            </w:r>
          </w:p>
          <w:p w14:paraId="1942F743" w14:textId="77777777" w:rsidR="007B7C69" w:rsidRPr="00C3537E" w:rsidRDefault="00122579" w:rsidP="0022346E">
            <w:pPr>
              <w:spacing w:before="120"/>
              <w:rPr>
                <w:rFonts w:ascii="Arial" w:hAnsi="Arial" w:cs="Arial"/>
                <w:sz w:val="20"/>
                <w:lang w:val="en-GB"/>
              </w:rPr>
            </w:pPr>
            <w:hyperlink r:id="rId14" w:history="1">
              <w:r w:rsidR="0022346E" w:rsidRPr="00837152">
                <w:rPr>
                  <w:rStyle w:val="Hipervnculo"/>
                  <w:rFonts w:ascii="Arial" w:hAnsi="Arial" w:cs="Arial"/>
                  <w:spacing w:val="8"/>
                  <w:sz w:val="20"/>
                  <w:szCs w:val="20"/>
                  <w:shd w:val="clear" w:color="auto" w:fill="FFFFFF"/>
                  <w:lang w:val="en-GB"/>
                </w:rPr>
                <w:t>https://www.alcaldiabogota.gov.co/sisjur/normas/Norma1.jsp?i=62539</w:t>
              </w:r>
            </w:hyperlink>
            <w:r w:rsidR="0022346E" w:rsidRPr="00837152">
              <w:rPr>
                <w:rFonts w:ascii="Arial" w:hAnsi="Arial" w:cs="Arial"/>
                <w:spacing w:val="8"/>
                <w:sz w:val="20"/>
                <w:szCs w:val="20"/>
                <w:shd w:val="clear" w:color="auto" w:fill="FFFFFF"/>
                <w:lang w:val="en-GB"/>
              </w:rPr>
              <w:t xml:space="preserve"> (Spanish).</w:t>
            </w:r>
          </w:p>
        </w:tc>
      </w:tr>
      <w:tr w:rsidR="007B7C69" w:rsidRPr="00C3537E" w14:paraId="0A4B3322" w14:textId="77777777" w:rsidTr="00E21D8E">
        <w:tc>
          <w:tcPr>
            <w:tcW w:w="2039" w:type="dxa"/>
            <w:tcBorders>
              <w:left w:val="nil"/>
            </w:tcBorders>
            <w:shd w:val="clear" w:color="auto" w:fill="F3DFC3"/>
          </w:tcPr>
          <w:p w14:paraId="619C9966" w14:textId="77777777" w:rsidR="007B7C69" w:rsidRPr="00C3537E" w:rsidRDefault="007B7C69" w:rsidP="007B7C69">
            <w:pPr>
              <w:numPr>
                <w:ilvl w:val="0"/>
                <w:numId w:val="12"/>
              </w:numPr>
              <w:spacing w:before="120" w:after="120"/>
              <w:rPr>
                <w:rFonts w:ascii="Arial" w:hAnsi="Arial" w:cs="Arial"/>
                <w:b/>
                <w:bCs/>
                <w:sz w:val="20"/>
                <w:lang w:val="en-GB"/>
              </w:rPr>
            </w:pPr>
            <w:r w:rsidRPr="00C3537E">
              <w:rPr>
                <w:rFonts w:ascii="Arial" w:hAnsi="Arial" w:cs="Arial"/>
                <w:b/>
                <w:bCs/>
                <w:sz w:val="20"/>
                <w:lang w:val="en-GB"/>
              </w:rPr>
              <w:lastRenderedPageBreak/>
              <w:t>Implementing regulation(s) (if any): [name and reference number, availability (homepage address) and indication of the languages in which these materials are available]</w:t>
            </w:r>
          </w:p>
        </w:tc>
        <w:tc>
          <w:tcPr>
            <w:tcW w:w="6291" w:type="dxa"/>
            <w:tcBorders>
              <w:right w:val="nil"/>
            </w:tcBorders>
          </w:tcPr>
          <w:p w14:paraId="4FB5BE1D" w14:textId="77777777" w:rsidR="007B7C69" w:rsidRPr="00C3537E" w:rsidRDefault="0022346E">
            <w:pPr>
              <w:spacing w:before="120"/>
              <w:rPr>
                <w:rFonts w:ascii="Arial" w:hAnsi="Arial" w:cs="Arial"/>
                <w:sz w:val="20"/>
                <w:lang w:val="en-GB"/>
              </w:rPr>
            </w:pPr>
            <w:r>
              <w:rPr>
                <w:rFonts w:ascii="Arial" w:hAnsi="Arial" w:cs="Arial"/>
                <w:sz w:val="20"/>
                <w:lang w:val="en-GB"/>
              </w:rPr>
              <w:t>None.</w:t>
            </w:r>
          </w:p>
        </w:tc>
      </w:tr>
      <w:tr w:rsidR="007B7C69" w:rsidRPr="00C3537E" w14:paraId="5E76D5C4" w14:textId="77777777" w:rsidTr="00E21D8E">
        <w:tc>
          <w:tcPr>
            <w:tcW w:w="2039" w:type="dxa"/>
            <w:tcBorders>
              <w:left w:val="nil"/>
              <w:bottom w:val="single" w:sz="4" w:space="0" w:color="auto"/>
            </w:tcBorders>
            <w:shd w:val="clear" w:color="auto" w:fill="F3DFC3"/>
          </w:tcPr>
          <w:p w14:paraId="01F5559B" w14:textId="77777777" w:rsidR="007B7C69" w:rsidRPr="00C3537E" w:rsidRDefault="007B7C69" w:rsidP="007B7C69">
            <w:pPr>
              <w:numPr>
                <w:ilvl w:val="0"/>
                <w:numId w:val="12"/>
              </w:numPr>
              <w:spacing w:before="120" w:after="120"/>
              <w:rPr>
                <w:rFonts w:ascii="Arial" w:hAnsi="Arial" w:cs="Arial"/>
                <w:b/>
                <w:bCs/>
                <w:sz w:val="20"/>
                <w:lang w:val="en-GB"/>
              </w:rPr>
            </w:pPr>
            <w:r w:rsidRPr="00C3537E">
              <w:rPr>
                <w:rFonts w:ascii="Arial" w:hAnsi="Arial" w:cs="Arial"/>
                <w:b/>
                <w:bCs/>
                <w:sz w:val="20"/>
                <w:lang w:val="en-GB"/>
              </w:rPr>
              <w:t>Interpretative guideline(s) (if any): [name and reference number, availability (homepage address) and indication of the languages in which these materials are available]</w:t>
            </w:r>
          </w:p>
        </w:tc>
        <w:tc>
          <w:tcPr>
            <w:tcW w:w="6291" w:type="dxa"/>
            <w:tcBorders>
              <w:right w:val="nil"/>
            </w:tcBorders>
          </w:tcPr>
          <w:p w14:paraId="3BE1BBE7" w14:textId="77777777" w:rsidR="00E21D8E" w:rsidRPr="00E45DDF" w:rsidRDefault="00E21D8E" w:rsidP="00FD523E">
            <w:pPr>
              <w:spacing w:before="120"/>
              <w:jc w:val="both"/>
              <w:rPr>
                <w:rFonts w:ascii="Arial" w:hAnsi="Arial" w:cs="Arial"/>
                <w:iCs/>
                <w:sz w:val="20"/>
                <w:lang w:val="en-GB"/>
              </w:rPr>
            </w:pPr>
            <w:bookmarkStart w:id="0" w:name="_Hlk37147638"/>
            <w:r w:rsidRPr="009F7BB1">
              <w:rPr>
                <w:rFonts w:ascii="Arial" w:hAnsi="Arial" w:cs="Arial"/>
                <w:i/>
                <w:sz w:val="20"/>
                <w:lang w:val="en-GB"/>
              </w:rPr>
              <w:t xml:space="preserve">“Frequent questions about the Competition Protection Regime”. </w:t>
            </w:r>
            <w:r w:rsidRPr="00E45DDF">
              <w:rPr>
                <w:rFonts w:ascii="Arial" w:hAnsi="Arial" w:cs="Arial"/>
                <w:iCs/>
                <w:sz w:val="20"/>
                <w:lang w:val="en-GB"/>
              </w:rPr>
              <w:t>Available in Spanish on the following link:</w:t>
            </w:r>
          </w:p>
          <w:p w14:paraId="5DF26748" w14:textId="77777777" w:rsidR="009F7BB1" w:rsidRPr="00D924C6" w:rsidRDefault="00122579" w:rsidP="00FD523E">
            <w:pPr>
              <w:spacing w:before="120"/>
              <w:jc w:val="both"/>
              <w:rPr>
                <w:rFonts w:ascii="Arial" w:hAnsi="Arial" w:cs="Arial"/>
                <w:sz w:val="20"/>
                <w:lang w:val="en-GB"/>
              </w:rPr>
            </w:pPr>
            <w:hyperlink r:id="rId15" w:history="1">
              <w:r w:rsidR="009F7BB1" w:rsidRPr="00D924C6">
                <w:rPr>
                  <w:rStyle w:val="Hipervnculo"/>
                  <w:rFonts w:ascii="Arial" w:hAnsi="Arial" w:cs="Arial"/>
                  <w:sz w:val="20"/>
                  <w:lang w:val="en-GB"/>
                </w:rPr>
                <w:t>https://www.sic.gov.co/sites/default/files/files/Nuestra_Entidad/Publicaciones/Preguntas_frecuentes_Regimen_de_Proteccion_de_la_Competencia.pdf</w:t>
              </w:r>
            </w:hyperlink>
          </w:p>
          <w:p w14:paraId="3771283F" w14:textId="77777777" w:rsidR="009F7BB1" w:rsidRDefault="009F7BB1" w:rsidP="00FD523E">
            <w:pPr>
              <w:spacing w:before="120"/>
              <w:jc w:val="both"/>
              <w:rPr>
                <w:rFonts w:ascii="Arial" w:hAnsi="Arial" w:cs="Arial"/>
                <w:sz w:val="20"/>
                <w:lang w:val="en-GB"/>
              </w:rPr>
            </w:pPr>
          </w:p>
          <w:p w14:paraId="0B21D2BB" w14:textId="77777777" w:rsidR="009F7BB1" w:rsidRPr="009F7BB1" w:rsidRDefault="009F7BB1" w:rsidP="00FD523E">
            <w:pPr>
              <w:jc w:val="both"/>
              <w:rPr>
                <w:rFonts w:ascii="Arial" w:hAnsi="Arial" w:cs="Arial"/>
                <w:sz w:val="20"/>
                <w:lang w:val="en-US"/>
              </w:rPr>
            </w:pPr>
            <w:r w:rsidRPr="009F7BB1">
              <w:rPr>
                <w:rFonts w:ascii="Arial" w:hAnsi="Arial" w:cs="Arial"/>
                <w:i/>
                <w:sz w:val="20"/>
                <w:lang w:val="en-US"/>
              </w:rPr>
              <w:t xml:space="preserve">“Practical guidelines for fighting bid-rigging in public procurement”. </w:t>
            </w:r>
            <w:r w:rsidRPr="009F7BB1">
              <w:rPr>
                <w:rFonts w:ascii="Arial" w:hAnsi="Arial" w:cs="Arial"/>
                <w:sz w:val="20"/>
                <w:lang w:val="en-US"/>
              </w:rPr>
              <w:t>Available in Spanish on the following link:</w:t>
            </w:r>
          </w:p>
          <w:p w14:paraId="2B9DFB3E" w14:textId="77777777" w:rsidR="009F7BB1" w:rsidRPr="00D924C6" w:rsidRDefault="00122579" w:rsidP="00FD523E">
            <w:pPr>
              <w:jc w:val="both"/>
              <w:rPr>
                <w:rFonts w:ascii="Arial" w:hAnsi="Arial" w:cs="Arial"/>
                <w:sz w:val="20"/>
                <w:lang w:val="en-US"/>
              </w:rPr>
            </w:pPr>
            <w:hyperlink r:id="rId16" w:history="1">
              <w:r w:rsidR="009F7BB1" w:rsidRPr="00D924C6">
                <w:rPr>
                  <w:rStyle w:val="Hipervnculo"/>
                  <w:rFonts w:ascii="Arial" w:hAnsi="Arial" w:cs="Arial"/>
                  <w:sz w:val="20"/>
                  <w:lang w:val="en-US"/>
                </w:rPr>
                <w:t>https://www.sic.gov.co/sites/default/files/files/Nuestra_Entidad/Publicaciones/Guia_practica_acuerdos_colusorios_25_01_2016.pdf</w:t>
              </w:r>
            </w:hyperlink>
          </w:p>
          <w:bookmarkEnd w:id="0"/>
          <w:p w14:paraId="66BC52E9" w14:textId="77777777" w:rsidR="00E21D8E" w:rsidRDefault="00E21D8E" w:rsidP="00FD523E">
            <w:pPr>
              <w:jc w:val="both"/>
              <w:rPr>
                <w:rFonts w:ascii="Arial" w:hAnsi="Arial" w:cs="Arial"/>
                <w:sz w:val="20"/>
                <w:lang w:val="en-GB"/>
              </w:rPr>
            </w:pPr>
          </w:p>
          <w:p w14:paraId="61C5A93B" w14:textId="77777777" w:rsidR="009F7BB1" w:rsidRDefault="009F7BB1" w:rsidP="00FD523E">
            <w:pPr>
              <w:jc w:val="both"/>
              <w:rPr>
                <w:rFonts w:ascii="Arial" w:hAnsi="Arial" w:cs="Arial"/>
                <w:sz w:val="20"/>
                <w:lang w:val="en-GB"/>
              </w:rPr>
            </w:pPr>
          </w:p>
          <w:p w14:paraId="76FA2E8C" w14:textId="77777777" w:rsidR="009F7BB1" w:rsidRPr="009F7BB1" w:rsidRDefault="009F7BB1" w:rsidP="00FD523E">
            <w:pPr>
              <w:jc w:val="both"/>
              <w:rPr>
                <w:rFonts w:ascii="Arial" w:hAnsi="Arial" w:cs="Arial"/>
                <w:i/>
                <w:sz w:val="20"/>
                <w:lang w:val="en-US"/>
              </w:rPr>
            </w:pPr>
            <w:r w:rsidRPr="009F7BB1">
              <w:rPr>
                <w:rFonts w:ascii="Arial" w:hAnsi="Arial" w:cs="Arial"/>
                <w:i/>
                <w:sz w:val="20"/>
                <w:lang w:val="en-US"/>
              </w:rPr>
              <w:t xml:space="preserve">“Guidelines on the Leniency Program” </w:t>
            </w:r>
          </w:p>
          <w:p w14:paraId="76D8A332" w14:textId="77777777" w:rsidR="009F7BB1" w:rsidRPr="009F7BB1" w:rsidRDefault="009F7BB1" w:rsidP="00FD523E">
            <w:pPr>
              <w:jc w:val="both"/>
              <w:rPr>
                <w:rFonts w:ascii="Arial" w:hAnsi="Arial" w:cs="Arial"/>
                <w:sz w:val="20"/>
                <w:lang w:val="en-US"/>
              </w:rPr>
            </w:pPr>
            <w:r w:rsidRPr="009F7BB1">
              <w:rPr>
                <w:rFonts w:ascii="Arial" w:hAnsi="Arial" w:cs="Arial"/>
                <w:sz w:val="20"/>
                <w:lang w:val="en-US"/>
              </w:rPr>
              <w:t xml:space="preserve">Available in Spanish on the following link: </w:t>
            </w:r>
          </w:p>
          <w:p w14:paraId="6FF9BC8F" w14:textId="77777777" w:rsidR="009F7BB1" w:rsidRDefault="00122579" w:rsidP="00FD523E">
            <w:pPr>
              <w:jc w:val="both"/>
              <w:rPr>
                <w:rFonts w:ascii="Arial" w:hAnsi="Arial" w:cs="Arial"/>
                <w:sz w:val="20"/>
                <w:lang w:val="en-GB"/>
              </w:rPr>
            </w:pPr>
            <w:hyperlink r:id="rId17" w:history="1">
              <w:r w:rsidR="009F7BB1" w:rsidRPr="00D924C6">
                <w:rPr>
                  <w:rStyle w:val="Hipervnculo"/>
                  <w:rFonts w:ascii="Arial" w:hAnsi="Arial" w:cs="Arial"/>
                  <w:sz w:val="20"/>
                  <w:lang w:val="en-US"/>
                </w:rPr>
                <w:t>https://www.sic.gov.co/sites/default/files/files/Nuestra_Entidad/Publicaciones/Guia_Programa_Beneficios_Colaboracion_VF_Para_Publicar.pdf</w:t>
              </w:r>
            </w:hyperlink>
          </w:p>
          <w:p w14:paraId="5AC39C7B" w14:textId="77777777" w:rsidR="009F7BB1" w:rsidRDefault="009F7BB1" w:rsidP="00FD523E">
            <w:pPr>
              <w:jc w:val="both"/>
              <w:rPr>
                <w:rFonts w:ascii="Arial" w:hAnsi="Arial" w:cs="Arial"/>
                <w:sz w:val="20"/>
                <w:lang w:val="en-GB"/>
              </w:rPr>
            </w:pPr>
          </w:p>
          <w:p w14:paraId="1D56EF21" w14:textId="77777777" w:rsidR="009F7BB1" w:rsidRPr="000D1AA6" w:rsidRDefault="000D1AA6" w:rsidP="00FD523E">
            <w:pPr>
              <w:jc w:val="both"/>
              <w:rPr>
                <w:rFonts w:ascii="Arial" w:hAnsi="Arial" w:cs="Arial"/>
                <w:sz w:val="20"/>
                <w:lang w:val="en-US"/>
              </w:rPr>
            </w:pPr>
            <w:r w:rsidRPr="000D1AA6">
              <w:rPr>
                <w:rFonts w:ascii="Arial" w:hAnsi="Arial" w:cs="Arial"/>
                <w:i/>
                <w:sz w:val="20"/>
                <w:lang w:val="en-US"/>
              </w:rPr>
              <w:t>“Guidelines on the application of competition rules regarding collaboration agreements between competitors”.</w:t>
            </w:r>
          </w:p>
          <w:p w14:paraId="2B2093AA" w14:textId="77777777" w:rsidR="009F7BB1" w:rsidRPr="00D924C6" w:rsidRDefault="00122579" w:rsidP="00FD523E">
            <w:pPr>
              <w:jc w:val="both"/>
              <w:rPr>
                <w:rFonts w:ascii="Arial" w:hAnsi="Arial" w:cs="Arial"/>
                <w:sz w:val="20"/>
                <w:lang w:val="en-US"/>
              </w:rPr>
            </w:pPr>
            <w:hyperlink r:id="rId18" w:history="1">
              <w:r w:rsidR="009F7BB1" w:rsidRPr="00D924C6">
                <w:rPr>
                  <w:rStyle w:val="Hipervnculo"/>
                  <w:rFonts w:ascii="Arial" w:hAnsi="Arial" w:cs="Arial"/>
                  <w:sz w:val="20"/>
                  <w:lang w:val="en-US"/>
                </w:rPr>
                <w:t>https://www.sic.gov.co/sites/default/files/files/CARTILLA_ACUERDOS%2019-03-2015.pdf</w:t>
              </w:r>
            </w:hyperlink>
          </w:p>
          <w:p w14:paraId="1BCDAFF6" w14:textId="77777777" w:rsidR="009F7BB1" w:rsidRDefault="009F7BB1" w:rsidP="00FD523E">
            <w:pPr>
              <w:jc w:val="both"/>
              <w:rPr>
                <w:rFonts w:ascii="Arial" w:hAnsi="Arial" w:cs="Arial"/>
                <w:sz w:val="20"/>
                <w:lang w:val="en-GB"/>
              </w:rPr>
            </w:pPr>
          </w:p>
          <w:p w14:paraId="3CE4239E" w14:textId="77777777" w:rsidR="000D1AA6" w:rsidRPr="000D1AA6" w:rsidRDefault="000D1AA6" w:rsidP="00FD523E">
            <w:pPr>
              <w:jc w:val="both"/>
              <w:rPr>
                <w:rFonts w:ascii="Arial" w:hAnsi="Arial" w:cs="Arial"/>
                <w:sz w:val="20"/>
                <w:lang w:val="en-US"/>
              </w:rPr>
            </w:pPr>
            <w:r w:rsidRPr="000D1AA6">
              <w:rPr>
                <w:rFonts w:ascii="Arial" w:hAnsi="Arial" w:cs="Arial"/>
                <w:sz w:val="20"/>
                <w:lang w:val="en-US"/>
              </w:rPr>
              <w:t>SIC’s answers to comments made by citizens about the content of this guidelines are available on the following link:</w:t>
            </w:r>
          </w:p>
          <w:p w14:paraId="17374788" w14:textId="77777777" w:rsidR="000D1AA6" w:rsidRPr="00D924C6" w:rsidRDefault="00122579" w:rsidP="00FD523E">
            <w:pPr>
              <w:jc w:val="both"/>
              <w:rPr>
                <w:rFonts w:ascii="Arial" w:hAnsi="Arial" w:cs="Arial"/>
                <w:sz w:val="20"/>
                <w:lang w:val="en-US"/>
              </w:rPr>
            </w:pPr>
            <w:hyperlink r:id="rId19" w:history="1">
              <w:r w:rsidR="000D1AA6" w:rsidRPr="00D924C6">
                <w:rPr>
                  <w:rStyle w:val="Hipervnculo"/>
                  <w:rFonts w:ascii="Arial" w:hAnsi="Arial" w:cs="Arial"/>
                  <w:sz w:val="20"/>
                  <w:lang w:val="en-US"/>
                </w:rPr>
                <w:t>https://www.sic.gov.co/recursos_user/documentos/cartilla_acuerdos_R.PDF</w:t>
              </w:r>
            </w:hyperlink>
          </w:p>
          <w:p w14:paraId="3EBFEBCC" w14:textId="77777777" w:rsidR="000D1AA6" w:rsidRPr="00D924C6" w:rsidRDefault="000D1AA6" w:rsidP="00FD523E">
            <w:pPr>
              <w:jc w:val="both"/>
              <w:rPr>
                <w:rFonts w:ascii="Arial" w:hAnsi="Arial" w:cs="Arial"/>
                <w:sz w:val="20"/>
                <w:lang w:val="en-US"/>
              </w:rPr>
            </w:pPr>
          </w:p>
          <w:p w14:paraId="63C5BE35" w14:textId="77777777" w:rsidR="000D1AA6" w:rsidRPr="000D1AA6" w:rsidRDefault="000D1AA6" w:rsidP="00FD523E">
            <w:pPr>
              <w:jc w:val="both"/>
              <w:rPr>
                <w:rFonts w:ascii="Arial" w:hAnsi="Arial" w:cs="Arial"/>
                <w:sz w:val="20"/>
                <w:lang w:val="en-US"/>
              </w:rPr>
            </w:pPr>
            <w:r w:rsidRPr="000D1AA6">
              <w:rPr>
                <w:rFonts w:ascii="Arial" w:hAnsi="Arial" w:cs="Arial"/>
                <w:i/>
                <w:sz w:val="20"/>
                <w:lang w:val="en-US"/>
              </w:rPr>
              <w:t>“Guideline on the application of competition rules regarding businesses associations and professionals associations or colleges”.</w:t>
            </w:r>
          </w:p>
          <w:p w14:paraId="341EF3F0" w14:textId="77777777" w:rsidR="000D1AA6" w:rsidRPr="000D1AA6" w:rsidRDefault="000D1AA6" w:rsidP="00FD523E">
            <w:pPr>
              <w:jc w:val="both"/>
              <w:rPr>
                <w:rFonts w:ascii="Arial" w:hAnsi="Arial" w:cs="Arial"/>
                <w:sz w:val="20"/>
                <w:lang w:val="en-US"/>
              </w:rPr>
            </w:pPr>
            <w:r w:rsidRPr="000D1AA6">
              <w:rPr>
                <w:rFonts w:ascii="Arial" w:hAnsi="Arial" w:cs="Arial"/>
                <w:sz w:val="20"/>
                <w:lang w:val="en-US"/>
              </w:rPr>
              <w:t>Available in Spanish on the following link:</w:t>
            </w:r>
          </w:p>
          <w:p w14:paraId="2280FB42" w14:textId="77777777" w:rsidR="000D1AA6" w:rsidRPr="00D924C6" w:rsidRDefault="00122579" w:rsidP="00FD523E">
            <w:pPr>
              <w:jc w:val="both"/>
              <w:rPr>
                <w:rFonts w:ascii="Arial" w:hAnsi="Arial" w:cs="Arial"/>
                <w:sz w:val="20"/>
                <w:lang w:val="en-US"/>
              </w:rPr>
            </w:pPr>
            <w:hyperlink r:id="rId20" w:history="1">
              <w:r w:rsidR="000D1AA6" w:rsidRPr="00D924C6">
                <w:rPr>
                  <w:rStyle w:val="Hipervnculo"/>
                  <w:rFonts w:ascii="Arial" w:hAnsi="Arial" w:cs="Arial"/>
                  <w:sz w:val="20"/>
                  <w:lang w:val="en-US"/>
                </w:rPr>
                <w:t>https://www.sic.gov.co/recursos_user/documentos/CARTILLA_GREMIOS.pdf</w:t>
              </w:r>
            </w:hyperlink>
          </w:p>
          <w:p w14:paraId="4933C7E0" w14:textId="77777777" w:rsidR="000D1AA6" w:rsidRPr="00D924C6" w:rsidRDefault="000D1AA6" w:rsidP="00FD523E">
            <w:pPr>
              <w:jc w:val="both"/>
              <w:rPr>
                <w:rFonts w:ascii="Arial" w:hAnsi="Arial" w:cs="Arial"/>
                <w:sz w:val="20"/>
                <w:lang w:val="en-US"/>
              </w:rPr>
            </w:pPr>
          </w:p>
          <w:p w14:paraId="6287BF5A" w14:textId="77777777" w:rsidR="000D1AA6" w:rsidRDefault="000D1AA6" w:rsidP="00FD523E">
            <w:pPr>
              <w:jc w:val="both"/>
              <w:rPr>
                <w:rFonts w:ascii="Arial" w:hAnsi="Arial" w:cs="Arial"/>
                <w:sz w:val="20"/>
                <w:lang w:val="en-GB"/>
              </w:rPr>
            </w:pPr>
          </w:p>
          <w:p w14:paraId="0CC4DDE1" w14:textId="77777777" w:rsidR="000D1AA6" w:rsidRPr="000D1AA6" w:rsidRDefault="000D1AA6" w:rsidP="00FD523E">
            <w:pPr>
              <w:jc w:val="both"/>
              <w:rPr>
                <w:rFonts w:ascii="Arial" w:hAnsi="Arial" w:cs="Arial"/>
                <w:sz w:val="20"/>
                <w:lang w:val="en-US"/>
              </w:rPr>
            </w:pPr>
            <w:r w:rsidRPr="000D1AA6">
              <w:rPr>
                <w:rFonts w:ascii="Arial" w:hAnsi="Arial" w:cs="Arial"/>
                <w:sz w:val="20"/>
                <w:lang w:val="en-US"/>
              </w:rPr>
              <w:t>SIC’s answers to comments made by citizens about the content of this guidelines are available on the following link:</w:t>
            </w:r>
          </w:p>
          <w:p w14:paraId="7780AFB7" w14:textId="77777777" w:rsidR="000D1AA6" w:rsidRPr="00D924C6" w:rsidRDefault="00122579" w:rsidP="00FD523E">
            <w:pPr>
              <w:jc w:val="both"/>
              <w:rPr>
                <w:rFonts w:ascii="Arial" w:hAnsi="Arial" w:cs="Arial"/>
                <w:sz w:val="20"/>
                <w:lang w:val="en-US"/>
              </w:rPr>
            </w:pPr>
            <w:hyperlink r:id="rId21" w:history="1">
              <w:r w:rsidR="000D1AA6" w:rsidRPr="00D924C6">
                <w:rPr>
                  <w:rStyle w:val="Hipervnculo"/>
                  <w:rFonts w:ascii="Arial" w:hAnsi="Arial" w:cs="Arial"/>
                  <w:sz w:val="20"/>
                  <w:lang w:val="en-US"/>
                </w:rPr>
                <w:t>https://www.sic.gov.co/recursos_user/documentos/RESPUESTA_CARTILLA_GREMIOS.PDF</w:t>
              </w:r>
            </w:hyperlink>
          </w:p>
          <w:p w14:paraId="1EE1FB6A" w14:textId="77777777" w:rsidR="009F7BB1" w:rsidRPr="009F7BB1" w:rsidRDefault="009F7BB1" w:rsidP="00FD523E">
            <w:pPr>
              <w:jc w:val="both"/>
              <w:rPr>
                <w:rFonts w:ascii="Arial" w:hAnsi="Arial" w:cs="Arial"/>
                <w:sz w:val="20"/>
                <w:lang w:val="en-GB"/>
              </w:rPr>
            </w:pPr>
          </w:p>
        </w:tc>
      </w:tr>
      <w:tr w:rsidR="007B7C69" w:rsidRPr="00C3537E" w14:paraId="3E8D2774" w14:textId="77777777" w:rsidTr="00E21D8E">
        <w:tc>
          <w:tcPr>
            <w:tcW w:w="2039" w:type="dxa"/>
            <w:tcBorders>
              <w:left w:val="nil"/>
            </w:tcBorders>
            <w:shd w:val="clear" w:color="auto" w:fill="F3DFC3"/>
          </w:tcPr>
          <w:p w14:paraId="0FF3AC41" w14:textId="77777777" w:rsidR="007B7C69" w:rsidRPr="00C3537E" w:rsidRDefault="007B7C69" w:rsidP="007B7C69">
            <w:pPr>
              <w:numPr>
                <w:ilvl w:val="0"/>
                <w:numId w:val="12"/>
              </w:numPr>
              <w:spacing w:before="120" w:after="120"/>
              <w:rPr>
                <w:rFonts w:ascii="Arial" w:hAnsi="Arial" w:cs="Arial"/>
                <w:b/>
                <w:bCs/>
                <w:sz w:val="20"/>
                <w:lang w:val="en-GB"/>
              </w:rPr>
            </w:pPr>
            <w:r w:rsidRPr="00C3537E">
              <w:rPr>
                <w:rFonts w:ascii="Arial" w:hAnsi="Arial" w:cs="Arial"/>
                <w:b/>
                <w:bCs/>
                <w:sz w:val="20"/>
                <w:lang w:val="en-GB"/>
              </w:rPr>
              <w:lastRenderedPageBreak/>
              <w:t>Other relevant materials (if any): [availability (homepage address) and indication of the languages in which these materials are available]</w:t>
            </w:r>
          </w:p>
        </w:tc>
        <w:tc>
          <w:tcPr>
            <w:tcW w:w="6291" w:type="dxa"/>
            <w:tcBorders>
              <w:right w:val="nil"/>
            </w:tcBorders>
          </w:tcPr>
          <w:p w14:paraId="1223EA3F" w14:textId="77777777" w:rsidR="002D3ABF" w:rsidRPr="006B73AA" w:rsidRDefault="002D3ABF" w:rsidP="002D3ABF">
            <w:pPr>
              <w:spacing w:before="120"/>
              <w:jc w:val="both"/>
              <w:rPr>
                <w:rFonts w:ascii="Arial" w:hAnsi="Arial" w:cs="Arial"/>
                <w:sz w:val="20"/>
                <w:szCs w:val="20"/>
                <w:lang w:val="en-GB"/>
              </w:rPr>
            </w:pPr>
            <w:r>
              <w:rPr>
                <w:rFonts w:ascii="Arial" w:hAnsi="Arial" w:cs="Arial"/>
                <w:sz w:val="20"/>
                <w:szCs w:val="20"/>
                <w:lang w:val="en-GB"/>
              </w:rPr>
              <w:t xml:space="preserve">SIC’s </w:t>
            </w:r>
            <w:r w:rsidRPr="006B73AA">
              <w:rPr>
                <w:rFonts w:ascii="Arial" w:hAnsi="Arial" w:cs="Arial"/>
                <w:sz w:val="20"/>
                <w:szCs w:val="20"/>
                <w:lang w:val="en-GB"/>
              </w:rPr>
              <w:t>Leniency Program. This informati</w:t>
            </w:r>
            <w:r>
              <w:rPr>
                <w:rFonts w:ascii="Arial" w:hAnsi="Arial" w:cs="Arial"/>
                <w:sz w:val="20"/>
                <w:szCs w:val="20"/>
                <w:lang w:val="en-GB"/>
              </w:rPr>
              <w:t>on can be consulted in Spanish o</w:t>
            </w:r>
            <w:r w:rsidRPr="006B73AA">
              <w:rPr>
                <w:rFonts w:ascii="Arial" w:hAnsi="Arial" w:cs="Arial"/>
                <w:sz w:val="20"/>
                <w:szCs w:val="20"/>
                <w:lang w:val="en-GB"/>
              </w:rPr>
              <w:t xml:space="preserve">n the following link: </w:t>
            </w:r>
            <w:hyperlink r:id="rId22" w:history="1">
              <w:r w:rsidRPr="00662DAF">
                <w:rPr>
                  <w:rStyle w:val="Hipervnculo"/>
                  <w:rFonts w:ascii="Arial" w:hAnsi="Arial" w:cs="Arial"/>
                  <w:sz w:val="20"/>
                  <w:szCs w:val="20"/>
                  <w:lang w:val="en-GB"/>
                </w:rPr>
                <w:t>http://www.sic.gov.co/beneficios-por-colaboracion</w:t>
              </w:r>
            </w:hyperlink>
          </w:p>
          <w:p w14:paraId="06DE21F2" w14:textId="77777777" w:rsidR="002D3ABF" w:rsidRPr="006B73AA" w:rsidRDefault="002D3ABF" w:rsidP="002D3ABF">
            <w:pPr>
              <w:spacing w:before="120"/>
              <w:jc w:val="both"/>
              <w:rPr>
                <w:rFonts w:ascii="Arial" w:hAnsi="Arial" w:cs="Arial"/>
                <w:sz w:val="20"/>
                <w:szCs w:val="20"/>
              </w:rPr>
            </w:pPr>
            <w:r>
              <w:rPr>
                <w:rFonts w:ascii="Arial" w:hAnsi="Arial" w:cs="Arial"/>
                <w:sz w:val="20"/>
                <w:szCs w:val="20"/>
              </w:rPr>
              <w:t>Anticompetitive practices</w:t>
            </w:r>
            <w:r w:rsidRPr="006B73AA">
              <w:rPr>
                <w:rFonts w:ascii="Arial" w:hAnsi="Arial" w:cs="Arial"/>
                <w:sz w:val="20"/>
                <w:szCs w:val="20"/>
              </w:rPr>
              <w:t>. This information i</w:t>
            </w:r>
            <w:r>
              <w:rPr>
                <w:rFonts w:ascii="Arial" w:hAnsi="Arial" w:cs="Arial"/>
                <w:sz w:val="20"/>
                <w:szCs w:val="20"/>
              </w:rPr>
              <w:t>s available in Spanish o</w:t>
            </w:r>
            <w:r w:rsidRPr="006B73AA">
              <w:rPr>
                <w:rFonts w:ascii="Arial" w:hAnsi="Arial" w:cs="Arial"/>
                <w:sz w:val="20"/>
                <w:szCs w:val="20"/>
              </w:rPr>
              <w:t xml:space="preserve">n the following link: </w:t>
            </w:r>
            <w:hyperlink r:id="rId23" w:history="1">
              <w:r w:rsidRPr="00662DAF">
                <w:rPr>
                  <w:rStyle w:val="Hipervnculo"/>
                  <w:rFonts w:ascii="Arial" w:hAnsi="Arial" w:cs="Arial"/>
                  <w:sz w:val="20"/>
                  <w:szCs w:val="20"/>
                </w:rPr>
                <w:t>http://www.sic.gov.co/practicas-restrictivas-de-la-competencia</w:t>
              </w:r>
            </w:hyperlink>
          </w:p>
          <w:p w14:paraId="12C8F717" w14:textId="77777777" w:rsidR="002D3ABF" w:rsidRDefault="002D3ABF" w:rsidP="002D3ABF">
            <w:pPr>
              <w:spacing w:before="120"/>
              <w:jc w:val="both"/>
              <w:rPr>
                <w:rFonts w:ascii="Arial" w:hAnsi="Arial" w:cs="Arial"/>
                <w:sz w:val="20"/>
                <w:lang w:val="en-GB"/>
              </w:rPr>
            </w:pPr>
            <w:r w:rsidRPr="0059203B">
              <w:rPr>
                <w:rFonts w:ascii="Arial" w:hAnsi="Arial" w:cs="Arial"/>
                <w:sz w:val="20"/>
                <w:lang w:val="en-GB"/>
              </w:rPr>
              <w:t xml:space="preserve">SICOMP Case Database – Decisions. This information is available in Spanish. </w:t>
            </w:r>
            <w:hyperlink r:id="rId24" w:history="1">
              <w:r w:rsidRPr="00042430">
                <w:rPr>
                  <w:rStyle w:val="Hipervnculo"/>
                  <w:rFonts w:ascii="Arial" w:hAnsi="Arial" w:cs="Arial"/>
                  <w:sz w:val="20"/>
                  <w:lang w:val="en-GB"/>
                </w:rPr>
                <w:t>http://www.sic.gov.co/sicomp</w:t>
              </w:r>
            </w:hyperlink>
          </w:p>
          <w:p w14:paraId="42BBED58" w14:textId="77777777" w:rsidR="007B7C69" w:rsidRPr="00C3537E" w:rsidRDefault="007B7C69">
            <w:pPr>
              <w:spacing w:before="120"/>
              <w:rPr>
                <w:rFonts w:ascii="Arial" w:hAnsi="Arial" w:cs="Arial"/>
                <w:sz w:val="20"/>
                <w:lang w:val="en-GB"/>
              </w:rPr>
            </w:pPr>
          </w:p>
        </w:tc>
      </w:tr>
    </w:tbl>
    <w:p w14:paraId="482F68DA" w14:textId="77777777" w:rsidR="007B7C69" w:rsidRPr="00C3537E" w:rsidRDefault="007B7C69">
      <w:pPr>
        <w:pStyle w:val="Textoindependiente"/>
        <w:ind w:left="0"/>
        <w:rPr>
          <w:rFonts w:ascii="Arial" w:hAnsi="Arial" w:cs="Arial"/>
          <w:lang w:val="en-GB"/>
        </w:rPr>
      </w:pPr>
    </w:p>
    <w:p w14:paraId="5DD6599F" w14:textId="77777777" w:rsidR="007B7C69" w:rsidRPr="00C3537E" w:rsidRDefault="007B7C69">
      <w:pPr>
        <w:pStyle w:val="Textoindependiente"/>
        <w:ind w:left="0"/>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5666"/>
      </w:tblGrid>
      <w:tr w:rsidR="007B7C69" w:rsidRPr="00C3537E" w14:paraId="3EE32B92" w14:textId="77777777" w:rsidTr="002D3ABF">
        <w:tc>
          <w:tcPr>
            <w:tcW w:w="9064" w:type="dxa"/>
            <w:gridSpan w:val="2"/>
            <w:tcBorders>
              <w:top w:val="nil"/>
              <w:left w:val="nil"/>
              <w:bottom w:val="nil"/>
              <w:right w:val="nil"/>
            </w:tcBorders>
            <w:shd w:val="clear" w:color="auto" w:fill="61243B"/>
          </w:tcPr>
          <w:p w14:paraId="03390E38" w14:textId="77777777" w:rsidR="007B7C69" w:rsidRPr="00C3537E" w:rsidRDefault="007B7C69">
            <w:pPr>
              <w:pStyle w:val="Ttulo1"/>
              <w:spacing w:before="240"/>
              <w:ind w:left="360" w:hanging="360"/>
              <w:rPr>
                <w:rFonts w:ascii="Arial" w:hAnsi="Arial" w:cs="Arial"/>
                <w:color w:val="FFFFFF"/>
                <w:sz w:val="28"/>
                <w:lang w:val="en-GB"/>
              </w:rPr>
            </w:pPr>
            <w:r w:rsidRPr="00C3537E">
              <w:rPr>
                <w:rFonts w:ascii="Arial" w:hAnsi="Arial" w:cs="Arial"/>
                <w:color w:val="FFFFFF"/>
                <w:lang w:val="en-GB"/>
              </w:rPr>
              <w:br w:type="page"/>
            </w:r>
            <w:r w:rsidRPr="00C3537E">
              <w:rPr>
                <w:rFonts w:ascii="Arial" w:hAnsi="Arial" w:cs="Arial"/>
                <w:color w:val="FFFFFF"/>
                <w:sz w:val="28"/>
                <w:lang w:val="en-GB"/>
              </w:rPr>
              <w:t>Scope and nature of prohibition on cartels</w:t>
            </w:r>
          </w:p>
        </w:tc>
      </w:tr>
      <w:tr w:rsidR="002D3ABF" w:rsidRPr="00C3537E" w14:paraId="46FDCAAC" w14:textId="77777777" w:rsidTr="002D3ABF">
        <w:tc>
          <w:tcPr>
            <w:tcW w:w="3398" w:type="dxa"/>
            <w:tcBorders>
              <w:left w:val="nil"/>
            </w:tcBorders>
            <w:shd w:val="clear" w:color="auto" w:fill="F3DFC3"/>
          </w:tcPr>
          <w:p w14:paraId="2C0B66D8" w14:textId="77777777" w:rsidR="002D3ABF" w:rsidRPr="00C3537E" w:rsidRDefault="002D3ABF" w:rsidP="002D3ABF">
            <w:pPr>
              <w:numPr>
                <w:ilvl w:val="0"/>
                <w:numId w:val="15"/>
              </w:numPr>
              <w:spacing w:before="120" w:after="120"/>
              <w:rPr>
                <w:rFonts w:ascii="Arial" w:hAnsi="Arial" w:cs="Arial"/>
                <w:b/>
                <w:bCs/>
                <w:sz w:val="20"/>
                <w:lang w:val="en-GB"/>
              </w:rPr>
            </w:pPr>
            <w:r w:rsidRPr="00C3537E">
              <w:rPr>
                <w:rFonts w:ascii="Arial" w:hAnsi="Arial" w:cs="Arial"/>
                <w:b/>
                <w:bCs/>
                <w:sz w:val="20"/>
                <w:lang w:val="en-GB"/>
              </w:rPr>
              <w:t>Does your law or case law define the term “cartel”? [Please quote.]</w:t>
            </w:r>
          </w:p>
          <w:p w14:paraId="4C753F0A" w14:textId="77777777" w:rsidR="002D3ABF" w:rsidRPr="00C3537E" w:rsidRDefault="002D3ABF" w:rsidP="002D3ABF">
            <w:pPr>
              <w:spacing w:before="120" w:after="120"/>
              <w:ind w:left="360"/>
              <w:rPr>
                <w:rFonts w:ascii="Arial" w:hAnsi="Arial" w:cs="Arial"/>
                <w:b/>
                <w:bCs/>
                <w:sz w:val="20"/>
                <w:lang w:val="en-GB"/>
              </w:rPr>
            </w:pPr>
            <w:r w:rsidRPr="00C3537E">
              <w:rPr>
                <w:rFonts w:ascii="Arial" w:hAnsi="Arial" w:cs="Arial"/>
                <w:b/>
                <w:bCs/>
                <w:sz w:val="20"/>
                <w:lang w:val="en-GB"/>
              </w:rPr>
              <w:t>If not, please indicate the term you use instead. [Please quote.]</w:t>
            </w:r>
          </w:p>
        </w:tc>
        <w:tc>
          <w:tcPr>
            <w:tcW w:w="5666" w:type="dxa"/>
            <w:tcBorders>
              <w:right w:val="nil"/>
            </w:tcBorders>
          </w:tcPr>
          <w:p w14:paraId="490042EA" w14:textId="77777777" w:rsidR="002D3ABF" w:rsidRDefault="002D3ABF" w:rsidP="002D3ABF">
            <w:pPr>
              <w:spacing w:before="120"/>
              <w:jc w:val="both"/>
              <w:rPr>
                <w:rFonts w:ascii="Arial" w:hAnsi="Arial" w:cs="Arial"/>
                <w:sz w:val="20"/>
                <w:szCs w:val="20"/>
                <w:lang w:val="en-GB"/>
              </w:rPr>
            </w:pPr>
            <w:r>
              <w:rPr>
                <w:rFonts w:ascii="Arial" w:hAnsi="Arial" w:cs="Arial"/>
                <w:sz w:val="20"/>
                <w:szCs w:val="20"/>
                <w:lang w:val="en-GB"/>
              </w:rPr>
              <w:t>Our law does not use the term “cartel”; instead, it uses the term “commercial restrictive practices” or “anticompetitive agreements”.</w:t>
            </w:r>
          </w:p>
          <w:p w14:paraId="2A13F482" w14:textId="77777777" w:rsidR="002D3ABF" w:rsidRDefault="002D3ABF" w:rsidP="002D3ABF">
            <w:pPr>
              <w:spacing w:before="120"/>
              <w:jc w:val="both"/>
              <w:rPr>
                <w:rFonts w:ascii="Arial" w:hAnsi="Arial" w:cs="Arial"/>
                <w:i/>
                <w:sz w:val="20"/>
                <w:szCs w:val="20"/>
                <w:lang w:val="en-GB"/>
              </w:rPr>
            </w:pPr>
            <w:r>
              <w:rPr>
                <w:rFonts w:ascii="Arial" w:hAnsi="Arial" w:cs="Arial"/>
                <w:sz w:val="20"/>
                <w:szCs w:val="20"/>
                <w:lang w:val="en-GB"/>
              </w:rPr>
              <w:t>A</w:t>
            </w:r>
            <w:r w:rsidRPr="004904A8">
              <w:rPr>
                <w:rFonts w:ascii="Arial" w:hAnsi="Arial" w:cs="Arial"/>
                <w:sz w:val="20"/>
                <w:szCs w:val="20"/>
                <w:lang w:val="en-GB"/>
              </w:rPr>
              <w:t>rticle 45</w:t>
            </w:r>
            <w:r>
              <w:rPr>
                <w:rFonts w:ascii="Arial" w:hAnsi="Arial" w:cs="Arial"/>
                <w:sz w:val="20"/>
                <w:szCs w:val="20"/>
                <w:lang w:val="en-GB"/>
              </w:rPr>
              <w:t xml:space="preserve"> of Decree 2153 of 1992 defines the term “agreement” as </w:t>
            </w:r>
            <w:r w:rsidRPr="004904A8">
              <w:rPr>
                <w:rFonts w:ascii="Arial" w:hAnsi="Arial" w:cs="Arial"/>
                <w:i/>
                <w:sz w:val="20"/>
                <w:szCs w:val="20"/>
                <w:lang w:val="en-GB"/>
              </w:rPr>
              <w:t>“</w:t>
            </w:r>
            <w:r>
              <w:rPr>
                <w:rFonts w:ascii="Arial" w:hAnsi="Arial" w:cs="Arial"/>
                <w:i/>
                <w:sz w:val="20"/>
                <w:szCs w:val="20"/>
                <w:lang w:val="en-GB"/>
              </w:rPr>
              <w:t>[a]ny</w:t>
            </w:r>
            <w:r w:rsidRPr="004904A8">
              <w:rPr>
                <w:rFonts w:ascii="Arial" w:hAnsi="Arial" w:cs="Arial"/>
                <w:i/>
                <w:sz w:val="20"/>
                <w:szCs w:val="20"/>
                <w:lang w:val="en-GB"/>
              </w:rPr>
              <w:t xml:space="preserve"> contract, </w:t>
            </w:r>
            <w:r>
              <w:rPr>
                <w:rFonts w:ascii="Arial" w:hAnsi="Arial" w:cs="Arial"/>
                <w:i/>
                <w:sz w:val="20"/>
                <w:szCs w:val="20"/>
                <w:lang w:val="en-GB"/>
              </w:rPr>
              <w:t>convention</w:t>
            </w:r>
            <w:r w:rsidRPr="004904A8">
              <w:rPr>
                <w:rFonts w:ascii="Arial" w:hAnsi="Arial" w:cs="Arial"/>
                <w:i/>
                <w:sz w:val="20"/>
                <w:szCs w:val="20"/>
                <w:lang w:val="en-GB"/>
              </w:rPr>
              <w:t xml:space="preserve">, </w:t>
            </w:r>
            <w:r>
              <w:rPr>
                <w:rFonts w:ascii="Arial" w:hAnsi="Arial" w:cs="Arial"/>
                <w:i/>
                <w:sz w:val="20"/>
                <w:szCs w:val="20"/>
                <w:lang w:val="en-GB"/>
              </w:rPr>
              <w:t xml:space="preserve">arrangement, concerted </w:t>
            </w:r>
            <w:r w:rsidRPr="004904A8">
              <w:rPr>
                <w:rFonts w:ascii="Arial" w:hAnsi="Arial" w:cs="Arial"/>
                <w:i/>
                <w:sz w:val="20"/>
                <w:szCs w:val="20"/>
                <w:lang w:val="en-GB"/>
              </w:rPr>
              <w:t>or consciously parallel practice between two or more competitors”.</w:t>
            </w:r>
          </w:p>
          <w:p w14:paraId="5A97EF79" w14:textId="77777777" w:rsidR="002D3ABF" w:rsidRDefault="002D3ABF" w:rsidP="002D3ABF">
            <w:pPr>
              <w:spacing w:before="120"/>
              <w:jc w:val="both"/>
              <w:rPr>
                <w:rFonts w:ascii="Arial" w:hAnsi="Arial" w:cs="Arial"/>
                <w:sz w:val="20"/>
                <w:szCs w:val="20"/>
                <w:lang w:val="en-GB"/>
              </w:rPr>
            </w:pPr>
            <w:r>
              <w:rPr>
                <w:rFonts w:ascii="Arial" w:hAnsi="Arial" w:cs="Arial"/>
                <w:sz w:val="20"/>
                <w:szCs w:val="20"/>
                <w:lang w:val="en-GB"/>
              </w:rPr>
              <w:t xml:space="preserve">In addition, Article 46 in harmony with Law 155 of 1959, prohibits conducts that can restrict free competition in markets, which, according to the Colombia Civil Code, are conducts with an illegal object.  </w:t>
            </w:r>
          </w:p>
          <w:p w14:paraId="11CAE368" w14:textId="77777777" w:rsidR="002D3ABF" w:rsidRDefault="002D3ABF" w:rsidP="002D3ABF">
            <w:pPr>
              <w:spacing w:before="120"/>
              <w:jc w:val="both"/>
              <w:rPr>
                <w:rFonts w:ascii="Arial" w:hAnsi="Arial" w:cs="Arial"/>
                <w:sz w:val="20"/>
                <w:szCs w:val="20"/>
                <w:lang w:val="en-GB"/>
              </w:rPr>
            </w:pPr>
            <w:r>
              <w:rPr>
                <w:rFonts w:ascii="Arial" w:hAnsi="Arial" w:cs="Arial"/>
                <w:sz w:val="20"/>
                <w:szCs w:val="20"/>
                <w:lang w:val="en-GB"/>
              </w:rPr>
              <w:t xml:space="preserve">Finally, Article 47 sets forth the different types of agreements which are deemed illegal in the Colombia competition regimen. These are the following: </w:t>
            </w:r>
          </w:p>
          <w:p w14:paraId="2F82B638"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 xml:space="preserve">1. Those </w:t>
            </w:r>
            <w:r>
              <w:rPr>
                <w:rFonts w:ascii="Arial" w:hAnsi="Arial" w:cs="Arial"/>
                <w:sz w:val="20"/>
                <w:szCs w:val="20"/>
                <w:lang w:val="en-GB"/>
              </w:rPr>
              <w:t>whose</w:t>
            </w:r>
            <w:r w:rsidRPr="00295609">
              <w:rPr>
                <w:rFonts w:ascii="Arial" w:hAnsi="Arial" w:cs="Arial"/>
                <w:sz w:val="20"/>
                <w:szCs w:val="20"/>
                <w:lang w:val="en-GB"/>
              </w:rPr>
              <w:t xml:space="preserve"> object or effect the direct or indirect fixing of prices</w:t>
            </w:r>
          </w:p>
          <w:p w14:paraId="449546FA"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2. Those whose object or effect is to determine sales conditions or discriminatory marketing.</w:t>
            </w:r>
          </w:p>
          <w:p w14:paraId="2DD0CD59"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3. Those whose object or effect is market allocation between producers or distributors.</w:t>
            </w:r>
          </w:p>
          <w:p w14:paraId="3E6291B8"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 xml:space="preserve">4. Those whose object or effect is the allocation of production or supply shares. </w:t>
            </w:r>
          </w:p>
          <w:p w14:paraId="667D1722"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 xml:space="preserve">5. Those </w:t>
            </w:r>
            <w:r>
              <w:rPr>
                <w:rFonts w:ascii="Arial" w:hAnsi="Arial" w:cs="Arial"/>
                <w:sz w:val="20"/>
                <w:szCs w:val="20"/>
                <w:lang w:val="en-GB"/>
              </w:rPr>
              <w:t xml:space="preserve">whose </w:t>
            </w:r>
            <w:r w:rsidRPr="00295609">
              <w:rPr>
                <w:rFonts w:ascii="Arial" w:hAnsi="Arial" w:cs="Arial"/>
                <w:sz w:val="20"/>
                <w:szCs w:val="20"/>
                <w:lang w:val="en-GB"/>
              </w:rPr>
              <w:t xml:space="preserve">object or effect </w:t>
            </w:r>
            <w:r>
              <w:rPr>
                <w:rFonts w:ascii="Arial" w:hAnsi="Arial" w:cs="Arial"/>
                <w:sz w:val="20"/>
                <w:szCs w:val="20"/>
                <w:lang w:val="en-GB"/>
              </w:rPr>
              <w:t xml:space="preserve">is </w:t>
            </w:r>
            <w:r w:rsidRPr="00295609">
              <w:rPr>
                <w:rFonts w:ascii="Arial" w:hAnsi="Arial" w:cs="Arial"/>
                <w:sz w:val="20"/>
                <w:szCs w:val="20"/>
                <w:lang w:val="en-GB"/>
              </w:rPr>
              <w:t xml:space="preserve">the assignment, sharing or </w:t>
            </w:r>
            <w:r>
              <w:rPr>
                <w:rFonts w:ascii="Arial" w:hAnsi="Arial" w:cs="Arial"/>
                <w:sz w:val="20"/>
                <w:szCs w:val="20"/>
                <w:lang w:val="en-GB"/>
              </w:rPr>
              <w:t>limiting of sources of supply of</w:t>
            </w:r>
            <w:r w:rsidRPr="00295609">
              <w:rPr>
                <w:rFonts w:ascii="Arial" w:hAnsi="Arial" w:cs="Arial"/>
                <w:sz w:val="20"/>
                <w:szCs w:val="20"/>
                <w:lang w:val="en-GB"/>
              </w:rPr>
              <w:t xml:space="preserve"> production inputs.</w:t>
            </w:r>
          </w:p>
          <w:p w14:paraId="67ED64A4"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6. Those whose object or effect is to limit technical developments.</w:t>
            </w:r>
          </w:p>
          <w:p w14:paraId="193AD9FF" w14:textId="77777777" w:rsidR="002D3ABF" w:rsidRDefault="002D3ABF" w:rsidP="002D3ABF">
            <w:pPr>
              <w:jc w:val="both"/>
              <w:rPr>
                <w:rFonts w:ascii="Arial" w:hAnsi="Arial" w:cs="Arial"/>
                <w:sz w:val="20"/>
                <w:szCs w:val="20"/>
                <w:lang w:val="en-GB"/>
              </w:rPr>
            </w:pPr>
            <w:r w:rsidRPr="00295609">
              <w:rPr>
                <w:rFonts w:ascii="Arial" w:hAnsi="Arial" w:cs="Arial"/>
                <w:sz w:val="20"/>
                <w:szCs w:val="20"/>
                <w:lang w:val="en-GB"/>
              </w:rPr>
              <w:t>7. Those who</w:t>
            </w:r>
            <w:r>
              <w:rPr>
                <w:rFonts w:ascii="Arial" w:hAnsi="Arial" w:cs="Arial"/>
                <w:sz w:val="20"/>
                <w:szCs w:val="20"/>
                <w:lang w:val="en-GB"/>
              </w:rPr>
              <w:t>se</w:t>
            </w:r>
            <w:r w:rsidRPr="00295609">
              <w:rPr>
                <w:rFonts w:ascii="Arial" w:hAnsi="Arial" w:cs="Arial"/>
                <w:sz w:val="20"/>
                <w:szCs w:val="20"/>
                <w:lang w:val="en-GB"/>
              </w:rPr>
              <w:t xml:space="preserve"> object or effect is to make the supply of a product</w:t>
            </w:r>
            <w:r>
              <w:rPr>
                <w:rFonts w:ascii="Arial" w:hAnsi="Arial" w:cs="Arial"/>
                <w:sz w:val="20"/>
                <w:szCs w:val="20"/>
                <w:lang w:val="en-GB"/>
              </w:rPr>
              <w:t xml:space="preserve"> subject </w:t>
            </w:r>
            <w:r w:rsidRPr="00295609">
              <w:rPr>
                <w:rFonts w:ascii="Arial" w:hAnsi="Arial" w:cs="Arial"/>
                <w:sz w:val="20"/>
                <w:szCs w:val="20"/>
                <w:lang w:val="en-GB"/>
              </w:rPr>
              <w:t>to acceptance of a</w:t>
            </w:r>
            <w:r>
              <w:rPr>
                <w:rFonts w:ascii="Arial" w:hAnsi="Arial" w:cs="Arial"/>
                <w:sz w:val="20"/>
                <w:szCs w:val="20"/>
                <w:lang w:val="en-GB"/>
              </w:rPr>
              <w:t xml:space="preserve">dditional obligations that </w:t>
            </w:r>
            <w:r w:rsidRPr="00295609">
              <w:rPr>
                <w:rFonts w:ascii="Arial" w:hAnsi="Arial" w:cs="Arial"/>
                <w:sz w:val="20"/>
                <w:szCs w:val="20"/>
                <w:lang w:val="en-GB"/>
              </w:rPr>
              <w:t>by their nature were not the object of the business, without prejudice to other provisions.</w:t>
            </w:r>
          </w:p>
          <w:p w14:paraId="01C9CD21"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8. Those whose object or effect is to refrain from producing a good or service or affect production levels.</w:t>
            </w:r>
          </w:p>
          <w:p w14:paraId="35CF1506" w14:textId="77777777" w:rsidR="002D3ABF" w:rsidRPr="00295609" w:rsidRDefault="002D3ABF" w:rsidP="002D3ABF">
            <w:pPr>
              <w:jc w:val="both"/>
              <w:rPr>
                <w:rFonts w:ascii="Arial" w:hAnsi="Arial" w:cs="Arial"/>
                <w:sz w:val="20"/>
                <w:szCs w:val="20"/>
                <w:lang w:val="en-GB"/>
              </w:rPr>
            </w:pPr>
            <w:r w:rsidRPr="00295609">
              <w:rPr>
                <w:rFonts w:ascii="Arial" w:hAnsi="Arial" w:cs="Arial"/>
                <w:sz w:val="20"/>
                <w:szCs w:val="20"/>
                <w:lang w:val="en-GB"/>
              </w:rPr>
              <w:t xml:space="preserve">9. </w:t>
            </w:r>
            <w:r>
              <w:rPr>
                <w:rFonts w:ascii="Arial" w:hAnsi="Arial" w:cs="Arial"/>
                <w:sz w:val="20"/>
                <w:szCs w:val="20"/>
                <w:lang w:val="en-GB"/>
              </w:rPr>
              <w:t xml:space="preserve">Those whose object is the </w:t>
            </w:r>
            <w:r w:rsidRPr="00295609">
              <w:rPr>
                <w:rFonts w:ascii="Arial" w:hAnsi="Arial" w:cs="Arial"/>
                <w:sz w:val="20"/>
                <w:szCs w:val="20"/>
                <w:lang w:val="en-GB"/>
              </w:rPr>
              <w:t>collusion in bidding or tendering or which have the effect of distributing contract awards, contests or distribution of fixing terms of the proposals.</w:t>
            </w:r>
          </w:p>
          <w:p w14:paraId="64665D33" w14:textId="77777777" w:rsidR="002D3ABF" w:rsidRDefault="002D3ABF" w:rsidP="002D3ABF">
            <w:pPr>
              <w:spacing w:before="120"/>
              <w:jc w:val="both"/>
              <w:rPr>
                <w:rFonts w:ascii="Arial" w:hAnsi="Arial" w:cs="Arial"/>
                <w:sz w:val="20"/>
                <w:szCs w:val="20"/>
                <w:lang w:val="en-GB"/>
              </w:rPr>
            </w:pPr>
            <w:r w:rsidRPr="00295609">
              <w:rPr>
                <w:rFonts w:ascii="Arial" w:hAnsi="Arial" w:cs="Arial"/>
                <w:sz w:val="20"/>
                <w:szCs w:val="20"/>
                <w:lang w:val="en-GB"/>
              </w:rPr>
              <w:lastRenderedPageBreak/>
              <w:t>10. Those whose object or effect is to prevent third parties access to markets or marketing channels.</w:t>
            </w:r>
          </w:p>
          <w:p w14:paraId="46124C16" w14:textId="77777777" w:rsidR="002D3ABF" w:rsidRPr="00C3537E" w:rsidRDefault="002D3ABF" w:rsidP="002D3ABF">
            <w:pPr>
              <w:spacing w:before="120"/>
              <w:rPr>
                <w:rFonts w:ascii="Arial" w:hAnsi="Arial" w:cs="Arial"/>
                <w:sz w:val="20"/>
                <w:lang w:val="en-GB"/>
              </w:rPr>
            </w:pPr>
          </w:p>
        </w:tc>
      </w:tr>
      <w:tr w:rsidR="00E31A83" w:rsidRPr="00C3537E" w14:paraId="3C4C64B0" w14:textId="77777777" w:rsidTr="002D3ABF">
        <w:tc>
          <w:tcPr>
            <w:tcW w:w="3398" w:type="dxa"/>
            <w:tcBorders>
              <w:left w:val="nil"/>
              <w:bottom w:val="single" w:sz="4" w:space="0" w:color="auto"/>
            </w:tcBorders>
            <w:shd w:val="clear" w:color="auto" w:fill="F3DFC3"/>
          </w:tcPr>
          <w:p w14:paraId="11550ACB" w14:textId="77777777" w:rsidR="00E31A83" w:rsidRPr="00C3537E" w:rsidRDefault="00E31A83" w:rsidP="00E31A83">
            <w:pPr>
              <w:numPr>
                <w:ilvl w:val="0"/>
                <w:numId w:val="15"/>
              </w:numPr>
              <w:spacing w:before="120" w:after="120"/>
              <w:rPr>
                <w:rFonts w:ascii="Arial" w:hAnsi="Arial" w:cs="Arial"/>
                <w:b/>
                <w:bCs/>
                <w:sz w:val="20"/>
                <w:lang w:val="en-GB"/>
              </w:rPr>
            </w:pPr>
            <w:r w:rsidRPr="00C3537E">
              <w:rPr>
                <w:rFonts w:ascii="Arial" w:hAnsi="Arial" w:cs="Arial"/>
                <w:b/>
                <w:bCs/>
                <w:sz w:val="20"/>
                <w:lang w:val="en-GB"/>
              </w:rPr>
              <w:lastRenderedPageBreak/>
              <w:t>Does your legislation or case law distinguish between very serious cartel behaviour (“hardcore cartels” – e.g.: price fixing, market sharing, bid rigging or production or sales quotas</w:t>
            </w:r>
            <w:r w:rsidRPr="00C3537E">
              <w:rPr>
                <w:rStyle w:val="Refdenotaalpie"/>
                <w:rFonts w:ascii="Arial" w:hAnsi="Arial" w:cs="Arial"/>
                <w:b/>
                <w:bCs/>
                <w:sz w:val="20"/>
                <w:lang w:val="en-GB"/>
              </w:rPr>
              <w:footnoteReference w:id="3"/>
            </w:r>
            <w:r w:rsidRPr="00C3537E">
              <w:rPr>
                <w:rFonts w:ascii="Arial" w:hAnsi="Arial" w:cs="Arial"/>
                <w:b/>
                <w:bCs/>
                <w:sz w:val="20"/>
                <w:lang w:val="en-GB"/>
              </w:rPr>
              <w:t>) and other types of “cartels”? [Please describe how this differentiation is made and identify the most egregious types of conduct.]</w:t>
            </w:r>
          </w:p>
        </w:tc>
        <w:tc>
          <w:tcPr>
            <w:tcW w:w="5666" w:type="dxa"/>
            <w:tcBorders>
              <w:right w:val="nil"/>
            </w:tcBorders>
          </w:tcPr>
          <w:p w14:paraId="068BCD37" w14:textId="77777777" w:rsidR="00E31A83" w:rsidRPr="00C3537E" w:rsidRDefault="00E31A83" w:rsidP="00E45DDF">
            <w:pPr>
              <w:spacing w:before="120"/>
              <w:jc w:val="both"/>
              <w:rPr>
                <w:rFonts w:ascii="Arial" w:hAnsi="Arial" w:cs="Arial"/>
                <w:lang w:val="en-GB"/>
              </w:rPr>
            </w:pPr>
            <w:r>
              <w:rPr>
                <w:rFonts w:ascii="Arial" w:hAnsi="Arial" w:cs="Arial"/>
                <w:sz w:val="20"/>
                <w:szCs w:val="20"/>
                <w:lang w:val="en-GB"/>
              </w:rPr>
              <w:t>Colombian legislation (specifically,</w:t>
            </w:r>
            <w:r w:rsidRPr="004904A8">
              <w:rPr>
                <w:rFonts w:ascii="Arial" w:hAnsi="Arial" w:cs="Arial"/>
                <w:sz w:val="20"/>
                <w:szCs w:val="20"/>
                <w:lang w:val="en-GB"/>
              </w:rPr>
              <w:t xml:space="preserve"> Article 47</w:t>
            </w:r>
            <w:r>
              <w:rPr>
                <w:rFonts w:ascii="Arial" w:hAnsi="Arial" w:cs="Arial"/>
                <w:sz w:val="20"/>
                <w:szCs w:val="20"/>
                <w:lang w:val="en-GB"/>
              </w:rPr>
              <w:t xml:space="preserve"> of Decree 2153 of 1992),</w:t>
            </w:r>
            <w:r w:rsidRPr="004904A8">
              <w:rPr>
                <w:rFonts w:ascii="Arial" w:hAnsi="Arial" w:cs="Arial"/>
                <w:sz w:val="20"/>
                <w:szCs w:val="20"/>
                <w:lang w:val="en-GB"/>
              </w:rPr>
              <w:t xml:space="preserve"> does not distinguish between very serious or not serious cartel behaviour</w:t>
            </w:r>
            <w:r>
              <w:rPr>
                <w:rFonts w:ascii="Arial" w:hAnsi="Arial" w:cs="Arial"/>
                <w:sz w:val="20"/>
                <w:szCs w:val="20"/>
                <w:lang w:val="en-GB"/>
              </w:rPr>
              <w:t>s</w:t>
            </w:r>
            <w:r w:rsidRPr="004904A8">
              <w:rPr>
                <w:rFonts w:ascii="Arial" w:hAnsi="Arial" w:cs="Arial"/>
                <w:sz w:val="20"/>
                <w:szCs w:val="20"/>
                <w:lang w:val="en-GB"/>
              </w:rPr>
              <w:t xml:space="preserve">. </w:t>
            </w:r>
          </w:p>
        </w:tc>
      </w:tr>
      <w:tr w:rsidR="00E31A83" w:rsidRPr="00C3537E" w14:paraId="2B597185" w14:textId="77777777" w:rsidTr="002D3ABF">
        <w:tc>
          <w:tcPr>
            <w:tcW w:w="3398" w:type="dxa"/>
            <w:tcBorders>
              <w:left w:val="nil"/>
            </w:tcBorders>
            <w:shd w:val="clear" w:color="auto" w:fill="F3DFC3"/>
          </w:tcPr>
          <w:p w14:paraId="59BF8622" w14:textId="77777777" w:rsidR="00E31A83" w:rsidRPr="00C3537E" w:rsidRDefault="00E31A83" w:rsidP="00E31A83">
            <w:pPr>
              <w:numPr>
                <w:ilvl w:val="0"/>
                <w:numId w:val="15"/>
              </w:numPr>
              <w:spacing w:before="120" w:after="120"/>
              <w:rPr>
                <w:rFonts w:ascii="Arial" w:hAnsi="Arial" w:cs="Arial"/>
                <w:b/>
                <w:bCs/>
                <w:sz w:val="20"/>
                <w:lang w:val="en-GB"/>
              </w:rPr>
            </w:pPr>
            <w:r w:rsidRPr="00C3537E">
              <w:rPr>
                <w:rFonts w:ascii="Arial" w:hAnsi="Arial" w:cs="Arial"/>
                <w:b/>
                <w:bCs/>
                <w:sz w:val="20"/>
                <w:lang w:val="en-GB"/>
              </w:rPr>
              <w:t>Scope of the prohibition of hardcore cartels: [including any exceptions, exclusions and defences e.g. for particular industries or sectors. Please also describe any other limitations to the ban on hardcore cartels.]</w:t>
            </w:r>
          </w:p>
        </w:tc>
        <w:tc>
          <w:tcPr>
            <w:tcW w:w="5666" w:type="dxa"/>
            <w:tcBorders>
              <w:right w:val="nil"/>
            </w:tcBorders>
          </w:tcPr>
          <w:p w14:paraId="2389AA28" w14:textId="77777777" w:rsidR="00E31A83" w:rsidRPr="003B3CA0" w:rsidRDefault="00E31A83" w:rsidP="00E31A83">
            <w:pPr>
              <w:jc w:val="both"/>
              <w:rPr>
                <w:rFonts w:ascii="Arial" w:hAnsi="Arial" w:cs="Arial"/>
                <w:sz w:val="20"/>
                <w:szCs w:val="20"/>
                <w:lang w:val="en-GB"/>
              </w:rPr>
            </w:pPr>
            <w:r w:rsidRPr="003B3CA0">
              <w:rPr>
                <w:rFonts w:ascii="Arial" w:hAnsi="Arial" w:cs="Arial"/>
                <w:sz w:val="20"/>
                <w:szCs w:val="20"/>
                <w:lang w:val="en-GB"/>
              </w:rPr>
              <w:t xml:space="preserve">Although Colombian regulation lacks a distinction between hardcore or softcore </w:t>
            </w:r>
            <w:r>
              <w:rPr>
                <w:rFonts w:ascii="Arial" w:hAnsi="Arial" w:cs="Arial"/>
                <w:sz w:val="20"/>
                <w:szCs w:val="20"/>
                <w:lang w:val="en-GB"/>
              </w:rPr>
              <w:t>cartels</w:t>
            </w:r>
            <w:r w:rsidRPr="003B3CA0">
              <w:rPr>
                <w:rFonts w:ascii="Arial" w:hAnsi="Arial" w:cs="Arial"/>
                <w:sz w:val="20"/>
                <w:szCs w:val="20"/>
                <w:lang w:val="en-GB"/>
              </w:rPr>
              <w:t xml:space="preserve">, the scope of Article 47 reaches the exceptions listed in Article 49. Thus, the exceptions to prosecute an agreement between competitors are the followings: </w:t>
            </w:r>
          </w:p>
          <w:p w14:paraId="73519845" w14:textId="77777777" w:rsidR="00E31A83" w:rsidRDefault="00E31A83" w:rsidP="00E31A83">
            <w:pPr>
              <w:pStyle w:val="Ttulo3"/>
              <w:tabs>
                <w:tab w:val="clear" w:pos="1800"/>
              </w:tabs>
              <w:spacing w:after="0"/>
              <w:ind w:left="238" w:hanging="238"/>
              <w:jc w:val="both"/>
              <w:rPr>
                <w:rFonts w:ascii="Arial" w:hAnsi="Arial" w:cs="Arial"/>
                <w:sz w:val="20"/>
              </w:rPr>
            </w:pPr>
            <w:r w:rsidRPr="003B3CA0">
              <w:rPr>
                <w:rFonts w:ascii="Arial" w:hAnsi="Arial" w:cs="Arial"/>
                <w:sz w:val="20"/>
              </w:rPr>
              <w:t xml:space="preserve">Agreements </w:t>
            </w:r>
            <w:r>
              <w:rPr>
                <w:rFonts w:ascii="Arial" w:hAnsi="Arial" w:cs="Arial"/>
                <w:sz w:val="20"/>
              </w:rPr>
              <w:t>whose aim</w:t>
            </w:r>
            <w:r w:rsidRPr="003B3CA0">
              <w:rPr>
                <w:rFonts w:ascii="Arial" w:hAnsi="Arial" w:cs="Arial"/>
                <w:sz w:val="20"/>
              </w:rPr>
              <w:t xml:space="preserve"> is the cooperation for research and new technology developments.</w:t>
            </w:r>
          </w:p>
          <w:p w14:paraId="1C4B83CF" w14:textId="77777777" w:rsidR="00E45DDF" w:rsidRDefault="00E31A83" w:rsidP="00E45DDF">
            <w:pPr>
              <w:pStyle w:val="Ttulo3"/>
              <w:tabs>
                <w:tab w:val="clear" w:pos="1800"/>
              </w:tabs>
              <w:spacing w:after="0"/>
              <w:ind w:left="238" w:hanging="238"/>
              <w:jc w:val="both"/>
              <w:rPr>
                <w:rFonts w:ascii="Arial" w:hAnsi="Arial" w:cs="Arial"/>
                <w:sz w:val="20"/>
              </w:rPr>
            </w:pPr>
            <w:r w:rsidRPr="003B3CA0">
              <w:rPr>
                <w:rFonts w:ascii="Arial" w:hAnsi="Arial" w:cs="Arial"/>
                <w:sz w:val="20"/>
              </w:rPr>
              <w:t xml:space="preserve">Agreements about norms compliance, standards and measures that are not adopted as mandatory by the competent body when they do not limit the entry of competitors into the market. </w:t>
            </w:r>
          </w:p>
          <w:p w14:paraId="180C4FAD" w14:textId="77777777" w:rsidR="00E31A83" w:rsidRPr="00E45DDF" w:rsidRDefault="00E31A83" w:rsidP="00E45DDF">
            <w:pPr>
              <w:pStyle w:val="Ttulo3"/>
              <w:tabs>
                <w:tab w:val="clear" w:pos="1800"/>
              </w:tabs>
              <w:spacing w:after="0"/>
              <w:ind w:left="238" w:hanging="238"/>
              <w:jc w:val="both"/>
              <w:rPr>
                <w:rFonts w:ascii="Arial" w:hAnsi="Arial" w:cs="Arial"/>
                <w:sz w:val="20"/>
              </w:rPr>
            </w:pPr>
            <w:r w:rsidRPr="00E45DDF">
              <w:rPr>
                <w:rFonts w:ascii="Arial" w:hAnsi="Arial" w:cs="Arial"/>
                <w:sz w:val="20"/>
              </w:rPr>
              <w:t xml:space="preserve">Agreements referring to procedures, methods, systems and ways of using common facilities.   </w:t>
            </w:r>
          </w:p>
        </w:tc>
      </w:tr>
      <w:tr w:rsidR="00E31A83" w:rsidRPr="00C3537E" w14:paraId="3A8FF5F0" w14:textId="77777777" w:rsidTr="002D3ABF">
        <w:tc>
          <w:tcPr>
            <w:tcW w:w="3398" w:type="dxa"/>
            <w:tcBorders>
              <w:left w:val="nil"/>
            </w:tcBorders>
            <w:shd w:val="clear" w:color="auto" w:fill="F3DFC3"/>
          </w:tcPr>
          <w:p w14:paraId="2164D4B5" w14:textId="77777777" w:rsidR="00E31A83" w:rsidRPr="00C3537E" w:rsidRDefault="00E31A83" w:rsidP="00E31A83">
            <w:pPr>
              <w:numPr>
                <w:ilvl w:val="0"/>
                <w:numId w:val="15"/>
              </w:numPr>
              <w:spacing w:before="120" w:after="120"/>
              <w:rPr>
                <w:rFonts w:ascii="Arial" w:hAnsi="Arial" w:cs="Arial"/>
                <w:b/>
                <w:bCs/>
                <w:sz w:val="20"/>
                <w:lang w:val="en-GB"/>
              </w:rPr>
            </w:pPr>
            <w:r w:rsidRPr="00C3537E">
              <w:rPr>
                <w:rFonts w:ascii="Arial" w:hAnsi="Arial"/>
                <w:b/>
                <w:sz w:val="20"/>
                <w:lang w:val="en-GB"/>
              </w:rPr>
              <w:t xml:space="preserve">Is participation in a hardcore cartel illegal </w:t>
            </w:r>
            <w:r w:rsidRPr="00C3537E">
              <w:rPr>
                <w:rFonts w:ascii="Arial" w:hAnsi="Arial"/>
                <w:b/>
                <w:i/>
                <w:sz w:val="20"/>
                <w:lang w:val="en-GB"/>
              </w:rPr>
              <w:t>per se</w:t>
            </w:r>
            <w:r w:rsidRPr="00C3537E">
              <w:rPr>
                <w:rStyle w:val="Refdenotaalpie"/>
                <w:rFonts w:cs="Arial"/>
                <w:b/>
                <w:bCs/>
                <w:i/>
                <w:lang w:val="en-GB"/>
              </w:rPr>
              <w:footnoteReference w:id="4"/>
            </w:r>
            <w:r w:rsidRPr="00C3537E">
              <w:rPr>
                <w:rFonts w:ascii="Arial" w:hAnsi="Arial"/>
                <w:b/>
                <w:sz w:val="20"/>
                <w:lang w:val="en-GB"/>
              </w:rPr>
              <w:t xml:space="preserve">? </w:t>
            </w:r>
            <w:r w:rsidRPr="00C3537E">
              <w:rPr>
                <w:rFonts w:ascii="Arial" w:hAnsi="Arial" w:cs="Arial"/>
                <w:b/>
                <w:bCs/>
                <w:sz w:val="20"/>
                <w:lang w:val="en-GB"/>
              </w:rPr>
              <w:t>[If the situation differs for civil, administrative and criminal liability, please clarify this.]</w:t>
            </w:r>
          </w:p>
        </w:tc>
        <w:tc>
          <w:tcPr>
            <w:tcW w:w="5666" w:type="dxa"/>
            <w:tcBorders>
              <w:right w:val="nil"/>
            </w:tcBorders>
          </w:tcPr>
          <w:p w14:paraId="3440F1FB" w14:textId="77777777" w:rsidR="00E31A83" w:rsidRPr="00C3537E" w:rsidRDefault="00E31A83" w:rsidP="00E31A83">
            <w:pPr>
              <w:spacing w:before="120"/>
              <w:jc w:val="both"/>
              <w:rPr>
                <w:rFonts w:ascii="Arial" w:hAnsi="Arial" w:cs="Arial"/>
                <w:sz w:val="20"/>
                <w:lang w:val="en-GB"/>
              </w:rPr>
            </w:pPr>
            <w:r>
              <w:rPr>
                <w:rFonts w:ascii="Arial" w:hAnsi="Arial" w:cs="Arial"/>
                <w:sz w:val="20"/>
                <w:szCs w:val="20"/>
                <w:lang w:val="en-GB"/>
              </w:rPr>
              <w:t xml:space="preserve">The Colombian Competition Authority, when enforcing competition rules, does not recognize an illegal rule </w:t>
            </w:r>
            <w:r w:rsidRPr="00A75A25">
              <w:rPr>
                <w:rFonts w:ascii="Arial" w:hAnsi="Arial" w:cs="Arial"/>
                <w:i/>
                <w:sz w:val="20"/>
                <w:szCs w:val="20"/>
                <w:lang w:val="en-GB"/>
              </w:rPr>
              <w:t>per se</w:t>
            </w:r>
            <w:r>
              <w:rPr>
                <w:rFonts w:ascii="Arial" w:hAnsi="Arial" w:cs="Arial"/>
                <w:sz w:val="20"/>
                <w:szCs w:val="20"/>
                <w:lang w:val="en-GB"/>
              </w:rPr>
              <w:t xml:space="preserve">. SIC decisions are based on a case by case analysis in which an assessment of the facts, their object in the market and their actual implications are the grounds to make a decision.  </w:t>
            </w:r>
          </w:p>
        </w:tc>
      </w:tr>
      <w:tr w:rsidR="00E31A83" w:rsidRPr="00C3537E" w14:paraId="2B091999" w14:textId="77777777" w:rsidTr="002D3ABF">
        <w:tc>
          <w:tcPr>
            <w:tcW w:w="3398" w:type="dxa"/>
            <w:tcBorders>
              <w:left w:val="nil"/>
            </w:tcBorders>
            <w:shd w:val="clear" w:color="auto" w:fill="F3DFC3"/>
          </w:tcPr>
          <w:p w14:paraId="3FDAC42A" w14:textId="77777777" w:rsidR="00E31A83" w:rsidRPr="00C3537E" w:rsidRDefault="00E31A83" w:rsidP="00E31A83">
            <w:pPr>
              <w:numPr>
                <w:ilvl w:val="0"/>
                <w:numId w:val="15"/>
              </w:numPr>
              <w:spacing w:before="120" w:after="120"/>
              <w:rPr>
                <w:rFonts w:ascii="Arial" w:hAnsi="Arial" w:cs="Arial"/>
                <w:b/>
                <w:bCs/>
                <w:sz w:val="20"/>
                <w:lang w:val="en-GB"/>
              </w:rPr>
            </w:pPr>
            <w:r w:rsidRPr="00C3537E">
              <w:rPr>
                <w:rFonts w:ascii="Arial" w:hAnsi="Arial" w:cs="Arial"/>
                <w:b/>
                <w:bCs/>
                <w:sz w:val="20"/>
                <w:lang w:val="en-GB"/>
              </w:rPr>
              <w:t>Is participation in a hardcore cartel a civil or administrative or criminal offence, or a combination of these?</w:t>
            </w:r>
          </w:p>
        </w:tc>
        <w:tc>
          <w:tcPr>
            <w:tcW w:w="5666" w:type="dxa"/>
            <w:tcBorders>
              <w:right w:val="nil"/>
            </w:tcBorders>
          </w:tcPr>
          <w:p w14:paraId="46A46024" w14:textId="77777777" w:rsidR="00E31A83" w:rsidRPr="00C3537E" w:rsidRDefault="00E31A83" w:rsidP="00E31A83">
            <w:pPr>
              <w:spacing w:before="120"/>
              <w:jc w:val="both"/>
              <w:rPr>
                <w:rFonts w:ascii="Arial" w:hAnsi="Arial" w:cs="Arial"/>
                <w:sz w:val="20"/>
                <w:lang w:val="en-GB"/>
              </w:rPr>
            </w:pPr>
            <w:r w:rsidRPr="00FD4746">
              <w:rPr>
                <w:rFonts w:ascii="Arial" w:hAnsi="Arial" w:cs="Arial"/>
                <w:sz w:val="20"/>
                <w:szCs w:val="20"/>
                <w:lang w:val="en-GB"/>
              </w:rPr>
              <w:t>In Colombia, participation in cartels is an administrative offense. Criminal offences will only be considered in the case established in number 9 of Article 47 of Decree 2153 of 1992 (</w:t>
            </w:r>
            <w:r w:rsidRPr="00FD4746">
              <w:rPr>
                <w:rFonts w:ascii="Arial" w:hAnsi="Arial" w:cs="Arial"/>
                <w:bCs/>
                <w:sz w:val="20"/>
                <w:szCs w:val="20"/>
                <w:shd w:val="clear" w:color="auto" w:fill="FFFFFF"/>
              </w:rPr>
              <w:t>collusive tendering</w:t>
            </w:r>
            <w:r w:rsidRPr="00FD4746">
              <w:rPr>
                <w:rFonts w:ascii="Arial" w:hAnsi="Arial" w:cs="Arial"/>
                <w:sz w:val="20"/>
                <w:szCs w:val="20"/>
                <w:lang w:val="en-GB"/>
              </w:rPr>
              <w:t xml:space="preserve"> or </w:t>
            </w:r>
            <w:r>
              <w:rPr>
                <w:rFonts w:ascii="Arial" w:hAnsi="Arial" w:cs="Arial"/>
                <w:sz w:val="20"/>
                <w:szCs w:val="20"/>
                <w:lang w:val="en-GB"/>
              </w:rPr>
              <w:t xml:space="preserve">bid rigging). It should be noted, however, that any person who considers that has been affected by a cartel might take civil actions against the undertakings involved in the illegal agreement. For this purpose, people can </w:t>
            </w:r>
            <w:r w:rsidRPr="008D1324">
              <w:rPr>
                <w:rFonts w:ascii="Arial" w:hAnsi="Arial" w:cs="Arial"/>
                <w:sz w:val="20"/>
                <w:szCs w:val="20"/>
                <w:lang w:val="en-GB"/>
              </w:rPr>
              <w:t>present class actions (articles 2 and 3 of Law 492 of 1998) or civil liability actions (article</w:t>
            </w:r>
            <w:r w:rsidR="008D1324" w:rsidRPr="008D1324">
              <w:rPr>
                <w:rFonts w:ascii="Arial" w:hAnsi="Arial" w:cs="Arial"/>
                <w:sz w:val="20"/>
                <w:szCs w:val="20"/>
                <w:lang w:val="en-GB"/>
              </w:rPr>
              <w:t>s 1613, 1614 y</w:t>
            </w:r>
            <w:r w:rsidRPr="008D1324">
              <w:rPr>
                <w:rFonts w:ascii="Arial" w:hAnsi="Arial" w:cs="Arial"/>
                <w:sz w:val="20"/>
                <w:szCs w:val="20"/>
                <w:lang w:val="en-GB"/>
              </w:rPr>
              <w:t xml:space="preserve"> 2341 of the Civil Code) before</w:t>
            </w:r>
            <w:r>
              <w:rPr>
                <w:rFonts w:ascii="Arial" w:hAnsi="Arial" w:cs="Arial"/>
                <w:sz w:val="20"/>
                <w:szCs w:val="20"/>
                <w:lang w:val="en-GB"/>
              </w:rPr>
              <w:t xml:space="preserve"> administrative or civil judges, respectively. </w:t>
            </w:r>
          </w:p>
        </w:tc>
      </w:tr>
    </w:tbl>
    <w:p w14:paraId="1727D83A" w14:textId="77777777" w:rsidR="007B7C69" w:rsidRPr="00C3537E" w:rsidRDefault="007B7C69">
      <w:pPr>
        <w:pStyle w:val="Textoindependiente"/>
        <w:ind w:left="0"/>
        <w:rPr>
          <w:rFonts w:ascii="Arial" w:hAnsi="Arial" w:cs="Arial"/>
          <w:lang w:val="en-GB"/>
        </w:rPr>
      </w:pPr>
    </w:p>
    <w:p w14:paraId="6E9EF425" w14:textId="77777777" w:rsidR="007B7C69" w:rsidRPr="00C3537E" w:rsidRDefault="007B7C69">
      <w:pPr>
        <w:pStyle w:val="Textoindependiente"/>
        <w:ind w:left="0"/>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16"/>
        <w:gridCol w:w="5720"/>
      </w:tblGrid>
      <w:tr w:rsidR="007B7C69" w:rsidRPr="00C3537E" w14:paraId="727B5E6D" w14:textId="77777777">
        <w:tc>
          <w:tcPr>
            <w:tcW w:w="9262" w:type="dxa"/>
            <w:gridSpan w:val="2"/>
            <w:shd w:val="clear" w:color="auto" w:fill="61243B"/>
          </w:tcPr>
          <w:p w14:paraId="63092FCB"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lastRenderedPageBreak/>
              <w:t>Investigating institution(s)</w:t>
            </w:r>
          </w:p>
        </w:tc>
      </w:tr>
      <w:tr w:rsidR="007B7C69" w:rsidRPr="00C3537E" w14:paraId="7CAD9658" w14:textId="77777777" w:rsidTr="00F87CF4">
        <w:tblPrEx>
          <w:shd w:val="clear" w:color="auto" w:fill="auto"/>
        </w:tblPrEx>
        <w:tc>
          <w:tcPr>
            <w:tcW w:w="3436" w:type="dxa"/>
            <w:tcBorders>
              <w:left w:val="nil"/>
            </w:tcBorders>
            <w:shd w:val="clear" w:color="auto" w:fill="F3DFC3"/>
          </w:tcPr>
          <w:p w14:paraId="01E27A15" w14:textId="77777777" w:rsidR="007B7C69" w:rsidRPr="00C3537E" w:rsidRDefault="007B7C69" w:rsidP="007B7C69">
            <w:pPr>
              <w:numPr>
                <w:ilvl w:val="0"/>
                <w:numId w:val="13"/>
              </w:numPr>
              <w:spacing w:before="120" w:after="120"/>
              <w:rPr>
                <w:rFonts w:ascii="Arial" w:hAnsi="Arial" w:cs="Arial"/>
                <w:b/>
                <w:sz w:val="20"/>
                <w:lang w:val="en-GB"/>
              </w:rPr>
            </w:pPr>
            <w:r w:rsidRPr="00C3537E">
              <w:rPr>
                <w:rFonts w:ascii="Arial" w:hAnsi="Arial" w:cs="Arial"/>
                <w:b/>
                <w:sz w:val="20"/>
                <w:lang w:val="en-GB"/>
              </w:rPr>
              <w:t>Name of the agency, which investigates cartels: [if there is more than one agency, please describe the allocation of responsibilities]</w:t>
            </w:r>
          </w:p>
        </w:tc>
        <w:tc>
          <w:tcPr>
            <w:tcW w:w="5826" w:type="dxa"/>
            <w:tcBorders>
              <w:right w:val="nil"/>
            </w:tcBorders>
          </w:tcPr>
          <w:p w14:paraId="68721C1E" w14:textId="77777777" w:rsidR="007B7C69" w:rsidRPr="00C3537E" w:rsidRDefault="00E31A83" w:rsidP="00E45DDF">
            <w:pPr>
              <w:spacing w:before="120"/>
              <w:jc w:val="both"/>
              <w:rPr>
                <w:rFonts w:ascii="Arial" w:hAnsi="Arial" w:cs="Arial"/>
                <w:sz w:val="20"/>
                <w:lang w:val="en-GB"/>
              </w:rPr>
            </w:pPr>
            <w:r>
              <w:rPr>
                <w:rFonts w:ascii="Arial" w:hAnsi="Arial" w:cs="Arial"/>
                <w:sz w:val="20"/>
                <w:szCs w:val="20"/>
                <w:lang w:val="en-GB"/>
              </w:rPr>
              <w:t xml:space="preserve">Both investigation and decision phases are conducted in the SIC. However, the first one is in charge of the Deputy Superintendence for Competition Protection, and the latter is in charge of the Superintendent of Industry and Commerce’s Office. Therefore, the investigative division is the </w:t>
            </w:r>
            <w:r w:rsidRPr="001E0771">
              <w:rPr>
                <w:rFonts w:ascii="Arial" w:hAnsi="Arial" w:cs="Arial"/>
                <w:b/>
                <w:sz w:val="20"/>
                <w:szCs w:val="20"/>
                <w:lang w:val="en-GB"/>
              </w:rPr>
              <w:t>Deputy Superintendence for Competition Protection.</w:t>
            </w:r>
          </w:p>
        </w:tc>
      </w:tr>
      <w:tr w:rsidR="007B7C69" w:rsidRPr="00C3537E" w14:paraId="1CBF0DC1" w14:textId="77777777" w:rsidTr="00F87CF4">
        <w:tblPrEx>
          <w:shd w:val="clear" w:color="auto" w:fill="auto"/>
        </w:tblPrEx>
        <w:tc>
          <w:tcPr>
            <w:tcW w:w="3436" w:type="dxa"/>
            <w:tcBorders>
              <w:left w:val="nil"/>
            </w:tcBorders>
            <w:shd w:val="clear" w:color="auto" w:fill="F3DFC3"/>
          </w:tcPr>
          <w:p w14:paraId="2A6DB0F2" w14:textId="77777777" w:rsidR="007B7C69" w:rsidRPr="00C3537E" w:rsidRDefault="007B7C69" w:rsidP="007B7C69">
            <w:pPr>
              <w:numPr>
                <w:ilvl w:val="0"/>
                <w:numId w:val="13"/>
              </w:numPr>
              <w:spacing w:before="120" w:after="120"/>
              <w:rPr>
                <w:rFonts w:ascii="Arial" w:hAnsi="Arial" w:cs="Arial"/>
                <w:b/>
                <w:sz w:val="20"/>
                <w:lang w:val="en-GB"/>
              </w:rPr>
            </w:pPr>
            <w:r w:rsidRPr="00C3537E">
              <w:rPr>
                <w:rFonts w:ascii="Arial" w:hAnsi="Arial" w:cs="Arial"/>
                <w:b/>
                <w:sz w:val="20"/>
                <w:lang w:val="en-GB"/>
              </w:rPr>
              <w:t>Contact details of the agency: [address, telephone and fax including the country code, email, website address and languages available on the website]</w:t>
            </w:r>
          </w:p>
        </w:tc>
        <w:tc>
          <w:tcPr>
            <w:tcW w:w="5826" w:type="dxa"/>
            <w:tcBorders>
              <w:right w:val="nil"/>
            </w:tcBorders>
          </w:tcPr>
          <w:p w14:paraId="4D29FADF" w14:textId="77777777" w:rsidR="00E31A83" w:rsidRPr="00B524EB" w:rsidRDefault="00E31A83" w:rsidP="008D1324">
            <w:pPr>
              <w:rPr>
                <w:rFonts w:ascii="Arial" w:hAnsi="Arial" w:cs="Arial"/>
                <w:sz w:val="20"/>
                <w:szCs w:val="20"/>
                <w:lang w:val="en-US"/>
              </w:rPr>
            </w:pPr>
            <w:r w:rsidRPr="00B524EB">
              <w:rPr>
                <w:rFonts w:ascii="Arial" w:hAnsi="Arial" w:cs="Arial"/>
                <w:sz w:val="20"/>
                <w:szCs w:val="20"/>
                <w:lang w:val="en-US"/>
              </w:rPr>
              <w:t>Deputy Superintende</w:t>
            </w:r>
            <w:r>
              <w:rPr>
                <w:rFonts w:ascii="Arial" w:hAnsi="Arial" w:cs="Arial"/>
                <w:sz w:val="20"/>
                <w:szCs w:val="20"/>
                <w:lang w:val="en-US"/>
              </w:rPr>
              <w:t>n</w:t>
            </w:r>
            <w:r w:rsidRPr="00B524EB">
              <w:rPr>
                <w:rFonts w:ascii="Arial" w:hAnsi="Arial" w:cs="Arial"/>
                <w:sz w:val="20"/>
                <w:szCs w:val="20"/>
                <w:lang w:val="en-US"/>
              </w:rPr>
              <w:t>ce for Competition Protection</w:t>
            </w:r>
          </w:p>
          <w:p w14:paraId="5E8A1760" w14:textId="77777777" w:rsidR="00E31A83" w:rsidRPr="008D1324" w:rsidRDefault="00E31A83" w:rsidP="008D1324">
            <w:pPr>
              <w:rPr>
                <w:rFonts w:ascii="Arial" w:hAnsi="Arial" w:cs="Arial"/>
                <w:sz w:val="20"/>
                <w:szCs w:val="20"/>
                <w:lang w:val="en-US"/>
              </w:rPr>
            </w:pPr>
            <w:r w:rsidRPr="00B524EB">
              <w:rPr>
                <w:rFonts w:ascii="Arial" w:hAnsi="Arial" w:cs="Arial"/>
                <w:sz w:val="20"/>
                <w:szCs w:val="20"/>
                <w:lang w:val="en-US"/>
              </w:rPr>
              <w:t>Car</w:t>
            </w:r>
            <w:r w:rsidRPr="008D1324">
              <w:rPr>
                <w:rFonts w:ascii="Arial" w:hAnsi="Arial" w:cs="Arial"/>
                <w:sz w:val="20"/>
                <w:szCs w:val="20"/>
                <w:lang w:val="en-US"/>
              </w:rPr>
              <w:t>rera 13 No. 27 – 00, Bogotá D.C.</w:t>
            </w:r>
          </w:p>
          <w:p w14:paraId="72AF99F6" w14:textId="77777777" w:rsidR="00E31A83" w:rsidRPr="008D1324" w:rsidRDefault="00E31A83" w:rsidP="008D1324">
            <w:pPr>
              <w:rPr>
                <w:rFonts w:ascii="Arial" w:hAnsi="Arial" w:cs="Arial"/>
                <w:sz w:val="20"/>
                <w:szCs w:val="20"/>
                <w:lang w:val="en-GB"/>
              </w:rPr>
            </w:pPr>
            <w:r w:rsidRPr="008D1324">
              <w:rPr>
                <w:rFonts w:ascii="Arial" w:hAnsi="Arial" w:cs="Arial"/>
                <w:sz w:val="20"/>
                <w:szCs w:val="20"/>
                <w:lang w:val="en-GB"/>
              </w:rPr>
              <w:t>10 th Floor</w:t>
            </w:r>
          </w:p>
          <w:p w14:paraId="55B25546" w14:textId="77777777" w:rsidR="00E31A83" w:rsidRPr="008D1324" w:rsidRDefault="00E31A83" w:rsidP="008D1324">
            <w:pPr>
              <w:rPr>
                <w:rFonts w:ascii="Arial" w:hAnsi="Arial" w:cs="Arial"/>
                <w:sz w:val="20"/>
                <w:szCs w:val="20"/>
                <w:lang w:val="en-GB"/>
              </w:rPr>
            </w:pPr>
            <w:r w:rsidRPr="008D1324">
              <w:rPr>
                <w:rFonts w:ascii="Arial" w:hAnsi="Arial" w:cs="Arial"/>
                <w:sz w:val="20"/>
                <w:szCs w:val="20"/>
                <w:lang w:val="en-GB"/>
              </w:rPr>
              <w:t>Phone: +57 1 5870000, ext. 20001</w:t>
            </w:r>
          </w:p>
          <w:p w14:paraId="357E2F47" w14:textId="77777777" w:rsidR="00E31A83" w:rsidRPr="008D1324" w:rsidRDefault="00E31A83" w:rsidP="008D1324">
            <w:pPr>
              <w:rPr>
                <w:rFonts w:ascii="Arial" w:hAnsi="Arial" w:cs="Arial"/>
                <w:sz w:val="20"/>
                <w:szCs w:val="20"/>
                <w:lang w:val="en-GB"/>
              </w:rPr>
            </w:pPr>
            <w:r w:rsidRPr="008D1324">
              <w:rPr>
                <w:rFonts w:ascii="Arial" w:hAnsi="Arial" w:cs="Arial"/>
                <w:sz w:val="20"/>
                <w:szCs w:val="20"/>
                <w:lang w:val="en-GB"/>
              </w:rPr>
              <w:t xml:space="preserve">Mail: </w:t>
            </w:r>
            <w:hyperlink r:id="rId25" w:history="1">
              <w:r w:rsidRPr="008D1324">
                <w:rPr>
                  <w:rStyle w:val="Hipervnculo"/>
                  <w:rFonts w:ascii="Arial" w:hAnsi="Arial" w:cs="Arial"/>
                  <w:sz w:val="20"/>
                  <w:szCs w:val="20"/>
                  <w:lang w:val="en-GB"/>
                </w:rPr>
                <w:t>contactenos@sic.gov.co</w:t>
              </w:r>
            </w:hyperlink>
            <w:r w:rsidRPr="008D1324">
              <w:rPr>
                <w:rFonts w:ascii="Arial" w:hAnsi="Arial" w:cs="Arial"/>
                <w:sz w:val="20"/>
                <w:szCs w:val="20"/>
                <w:lang w:val="en-GB"/>
              </w:rPr>
              <w:t xml:space="preserve"> or</w:t>
            </w:r>
          </w:p>
          <w:p w14:paraId="44E89042" w14:textId="77777777" w:rsidR="00E31A83" w:rsidRPr="008D1324" w:rsidRDefault="00122579" w:rsidP="008D1324">
            <w:pPr>
              <w:rPr>
                <w:rFonts w:ascii="Arial" w:hAnsi="Arial" w:cs="Arial"/>
                <w:sz w:val="20"/>
                <w:szCs w:val="20"/>
                <w:lang w:val="en-GB"/>
              </w:rPr>
            </w:pPr>
            <w:hyperlink r:id="rId26" w:history="1">
              <w:r w:rsidR="00E31A83" w:rsidRPr="008D1324">
                <w:rPr>
                  <w:rStyle w:val="Hipervnculo"/>
                  <w:rFonts w:ascii="Arial" w:hAnsi="Arial" w:cs="Arial"/>
                  <w:sz w:val="20"/>
                  <w:szCs w:val="20"/>
                  <w:lang w:val="en-GB"/>
                </w:rPr>
                <w:t>delprotecompetencia@sic.gov.co</w:t>
              </w:r>
            </w:hyperlink>
          </w:p>
          <w:p w14:paraId="28F3092C" w14:textId="77777777" w:rsidR="008D1324" w:rsidRPr="008D1324" w:rsidRDefault="00E31A83" w:rsidP="008D1324">
            <w:pPr>
              <w:spacing w:before="120"/>
              <w:rPr>
                <w:rFonts w:ascii="Arial" w:hAnsi="Arial" w:cs="Arial"/>
                <w:sz w:val="20"/>
                <w:szCs w:val="20"/>
              </w:rPr>
            </w:pPr>
            <w:r w:rsidRPr="008D1324">
              <w:rPr>
                <w:rFonts w:ascii="Arial" w:hAnsi="Arial" w:cs="Arial"/>
                <w:sz w:val="20"/>
                <w:szCs w:val="20"/>
                <w:lang w:val="fr-FR"/>
              </w:rPr>
              <w:t>Webpage:</w:t>
            </w:r>
            <w:hyperlink r:id="rId27" w:history="1">
              <w:r w:rsidR="008D1324" w:rsidRPr="00744D70">
                <w:rPr>
                  <w:rStyle w:val="Hipervnculo"/>
                  <w:rFonts w:ascii="Arial" w:hAnsi="Arial" w:cs="Arial"/>
                  <w:sz w:val="20"/>
                  <w:szCs w:val="20"/>
                </w:rPr>
                <w:t>https://www.sic.gov.co/tema/proteccion-de-la-competencia</w:t>
              </w:r>
            </w:hyperlink>
          </w:p>
          <w:p w14:paraId="0EB3A49F" w14:textId="77777777" w:rsidR="007B7C69" w:rsidRPr="00C3537E" w:rsidRDefault="00E31A83" w:rsidP="008D1324">
            <w:pPr>
              <w:spacing w:before="120"/>
              <w:rPr>
                <w:rFonts w:ascii="Arial" w:hAnsi="Arial" w:cs="Arial"/>
                <w:sz w:val="20"/>
                <w:lang w:val="en-GB"/>
              </w:rPr>
            </w:pPr>
            <w:r>
              <w:rPr>
                <w:rFonts w:ascii="Arial" w:hAnsi="Arial" w:cs="Arial"/>
                <w:sz w:val="20"/>
                <w:szCs w:val="20"/>
                <w:lang w:val="en-GB"/>
              </w:rPr>
              <w:t>Language: Spanish</w:t>
            </w:r>
          </w:p>
        </w:tc>
      </w:tr>
      <w:tr w:rsidR="007B7C69" w:rsidRPr="00C3537E" w14:paraId="78B82566" w14:textId="77777777" w:rsidTr="00F87CF4">
        <w:tblPrEx>
          <w:shd w:val="clear" w:color="auto" w:fill="auto"/>
        </w:tblPrEx>
        <w:tc>
          <w:tcPr>
            <w:tcW w:w="3436" w:type="dxa"/>
            <w:tcBorders>
              <w:left w:val="nil"/>
            </w:tcBorders>
            <w:shd w:val="clear" w:color="auto" w:fill="F3DFC3"/>
          </w:tcPr>
          <w:p w14:paraId="687F5C1C" w14:textId="77777777" w:rsidR="007B7C69" w:rsidRPr="00C3537E" w:rsidRDefault="007B7C69" w:rsidP="007B7C69">
            <w:pPr>
              <w:numPr>
                <w:ilvl w:val="0"/>
                <w:numId w:val="13"/>
              </w:numPr>
              <w:spacing w:before="120" w:after="120"/>
              <w:rPr>
                <w:rFonts w:ascii="Arial" w:hAnsi="Arial" w:cs="Arial"/>
                <w:b/>
                <w:sz w:val="20"/>
                <w:lang w:val="en-GB"/>
              </w:rPr>
            </w:pPr>
            <w:r w:rsidRPr="00C3537E">
              <w:rPr>
                <w:rFonts w:ascii="Arial" w:hAnsi="Arial" w:cs="Arial"/>
                <w:b/>
                <w:sz w:val="20"/>
                <w:lang w:val="en-GB"/>
              </w:rPr>
              <w:t>Information point for potential complainants:</w:t>
            </w:r>
          </w:p>
        </w:tc>
        <w:tc>
          <w:tcPr>
            <w:tcW w:w="5826" w:type="dxa"/>
            <w:tcBorders>
              <w:right w:val="nil"/>
            </w:tcBorders>
          </w:tcPr>
          <w:p w14:paraId="78FD8472" w14:textId="77777777" w:rsidR="00E31A83" w:rsidRDefault="00E31A83" w:rsidP="004C1048">
            <w:pPr>
              <w:jc w:val="both"/>
              <w:rPr>
                <w:rFonts w:ascii="Arial" w:hAnsi="Arial" w:cs="Arial"/>
                <w:color w:val="212121"/>
                <w:sz w:val="20"/>
                <w:szCs w:val="20"/>
                <w:shd w:val="clear" w:color="auto" w:fill="FFFFFF"/>
              </w:rPr>
            </w:pPr>
            <w:r w:rsidRPr="00852A62">
              <w:rPr>
                <w:rFonts w:ascii="Arial" w:hAnsi="Arial" w:cs="Arial"/>
                <w:sz w:val="20"/>
                <w:szCs w:val="20"/>
                <w:lang w:val="en-GB"/>
              </w:rPr>
              <w:t xml:space="preserve">The Entity </w:t>
            </w:r>
            <w:r w:rsidRPr="001E0771">
              <w:rPr>
                <w:rFonts w:ascii="Arial" w:hAnsi="Arial" w:cs="Arial"/>
                <w:sz w:val="20"/>
                <w:szCs w:val="20"/>
                <w:lang w:val="en-GB"/>
              </w:rPr>
              <w:t xml:space="preserve">has </w:t>
            </w:r>
            <w:r w:rsidRPr="001E0771">
              <w:rPr>
                <w:rFonts w:ascii="Arial" w:hAnsi="Arial" w:cs="Arial"/>
                <w:sz w:val="20"/>
                <w:szCs w:val="20"/>
                <w:shd w:val="clear" w:color="auto" w:fill="FFFFFF"/>
              </w:rPr>
              <w:t>provided the following information points</w:t>
            </w:r>
            <w:r w:rsidRPr="00B12A68">
              <w:rPr>
                <w:rFonts w:ascii="Arial" w:hAnsi="Arial" w:cs="Arial"/>
                <w:color w:val="212121"/>
                <w:sz w:val="20"/>
                <w:szCs w:val="20"/>
                <w:shd w:val="clear" w:color="auto" w:fill="FFFFFF"/>
              </w:rPr>
              <w:t xml:space="preserve">: </w:t>
            </w:r>
          </w:p>
          <w:p w14:paraId="30CF074B" w14:textId="77777777" w:rsidR="00E31A83" w:rsidRPr="00B12A68" w:rsidRDefault="00E31A83" w:rsidP="004C1048">
            <w:pPr>
              <w:jc w:val="both"/>
              <w:rPr>
                <w:rFonts w:ascii="Arial" w:hAnsi="Arial" w:cs="Arial"/>
                <w:color w:val="212121"/>
                <w:sz w:val="20"/>
                <w:szCs w:val="20"/>
                <w:shd w:val="clear" w:color="auto" w:fill="FFFFFF"/>
              </w:rPr>
            </w:pPr>
          </w:p>
          <w:p w14:paraId="1157A815" w14:textId="77777777" w:rsidR="00E45DDF" w:rsidRDefault="00E31A83" w:rsidP="00E45DDF">
            <w:pPr>
              <w:pStyle w:val="Ttulo3"/>
              <w:tabs>
                <w:tab w:val="clear" w:pos="1800"/>
              </w:tabs>
              <w:spacing w:after="0"/>
              <w:ind w:left="232" w:hanging="232"/>
              <w:jc w:val="both"/>
              <w:rPr>
                <w:rFonts w:ascii="Arial" w:hAnsi="Arial" w:cs="Arial"/>
                <w:sz w:val="20"/>
              </w:rPr>
            </w:pPr>
            <w:r w:rsidRPr="0024326D">
              <w:rPr>
                <w:rFonts w:ascii="Arial" w:hAnsi="Arial" w:cs="Arial"/>
                <w:sz w:val="20"/>
              </w:rPr>
              <w:t xml:space="preserve">At the premises of the Entity. </w:t>
            </w:r>
          </w:p>
          <w:p w14:paraId="6AD7ED51" w14:textId="77777777" w:rsidR="007B7C69" w:rsidRPr="00E45DDF" w:rsidRDefault="00E31A83" w:rsidP="00E45DDF">
            <w:pPr>
              <w:pStyle w:val="Ttulo3"/>
              <w:tabs>
                <w:tab w:val="clear" w:pos="1800"/>
              </w:tabs>
              <w:spacing w:after="0"/>
              <w:ind w:left="232" w:hanging="232"/>
              <w:jc w:val="both"/>
              <w:rPr>
                <w:rFonts w:ascii="Arial" w:hAnsi="Arial" w:cs="Arial"/>
                <w:sz w:val="20"/>
              </w:rPr>
            </w:pPr>
            <w:r w:rsidRPr="00E45DDF">
              <w:rPr>
                <w:rFonts w:ascii="Arial" w:hAnsi="Arial" w:cs="Arial"/>
                <w:sz w:val="20"/>
              </w:rPr>
              <w:t xml:space="preserve">By email: </w:t>
            </w:r>
            <w:hyperlink r:id="rId28" w:history="1">
              <w:r w:rsidRPr="00E45DDF">
                <w:rPr>
                  <w:rStyle w:val="Hipervnculo"/>
                  <w:rFonts w:ascii="Arial" w:hAnsi="Arial" w:cs="Arial"/>
                  <w:sz w:val="20"/>
                </w:rPr>
                <w:t>contactenos@sic.gov.co</w:t>
              </w:r>
            </w:hyperlink>
          </w:p>
        </w:tc>
      </w:tr>
      <w:tr w:rsidR="007B7C69" w:rsidRPr="00C3537E" w14:paraId="25AFE56E" w14:textId="77777777" w:rsidTr="00F87CF4">
        <w:tblPrEx>
          <w:shd w:val="clear" w:color="auto" w:fill="auto"/>
        </w:tblPrEx>
        <w:tc>
          <w:tcPr>
            <w:tcW w:w="3436" w:type="dxa"/>
            <w:tcBorders>
              <w:left w:val="nil"/>
            </w:tcBorders>
            <w:shd w:val="clear" w:color="auto" w:fill="F3DFC3"/>
          </w:tcPr>
          <w:p w14:paraId="4B7FA653" w14:textId="77777777" w:rsidR="007B7C69" w:rsidRPr="00C3537E" w:rsidRDefault="007B7C69" w:rsidP="007B7C69">
            <w:pPr>
              <w:numPr>
                <w:ilvl w:val="0"/>
                <w:numId w:val="13"/>
              </w:numPr>
              <w:spacing w:before="120" w:after="120"/>
              <w:rPr>
                <w:rFonts w:ascii="Arial" w:hAnsi="Arial" w:cs="Arial"/>
                <w:b/>
                <w:sz w:val="20"/>
                <w:lang w:val="en-GB"/>
              </w:rPr>
            </w:pPr>
            <w:r w:rsidRPr="00C3537E">
              <w:rPr>
                <w:rFonts w:ascii="Arial" w:hAnsi="Arial" w:cs="Arial"/>
                <w:b/>
                <w:sz w:val="20"/>
                <w:lang w:val="en-GB"/>
              </w:rPr>
              <w:t>Contact point where complaints can be lodged:</w:t>
            </w:r>
          </w:p>
        </w:tc>
        <w:tc>
          <w:tcPr>
            <w:tcW w:w="5826" w:type="dxa"/>
            <w:tcBorders>
              <w:right w:val="nil"/>
            </w:tcBorders>
          </w:tcPr>
          <w:p w14:paraId="7B1CAA1F" w14:textId="77777777" w:rsidR="00E31A83" w:rsidRDefault="00E31A83" w:rsidP="00E31A83">
            <w:pPr>
              <w:jc w:val="both"/>
              <w:rPr>
                <w:rFonts w:ascii="Arial" w:hAnsi="Arial" w:cs="Arial"/>
                <w:sz w:val="20"/>
                <w:szCs w:val="20"/>
                <w:lang w:val="en-GB"/>
              </w:rPr>
            </w:pPr>
            <w:r>
              <w:rPr>
                <w:rFonts w:ascii="Arial" w:hAnsi="Arial" w:cs="Arial"/>
                <w:sz w:val="20"/>
                <w:szCs w:val="20"/>
                <w:lang w:val="en-GB"/>
              </w:rPr>
              <w:t xml:space="preserve">Complaints can be lodged: </w:t>
            </w:r>
          </w:p>
          <w:p w14:paraId="15B75DA7" w14:textId="77777777" w:rsidR="00E45DDF" w:rsidRDefault="00E45DDF" w:rsidP="00E31A83">
            <w:pPr>
              <w:jc w:val="both"/>
              <w:rPr>
                <w:rFonts w:ascii="Arial" w:hAnsi="Arial" w:cs="Arial"/>
                <w:sz w:val="20"/>
                <w:szCs w:val="20"/>
                <w:lang w:val="en-GB"/>
              </w:rPr>
            </w:pPr>
          </w:p>
          <w:p w14:paraId="369082D8" w14:textId="77777777" w:rsidR="00E31A83" w:rsidRPr="00B524EB" w:rsidRDefault="00E31A83" w:rsidP="00E31A83">
            <w:pPr>
              <w:jc w:val="both"/>
              <w:rPr>
                <w:rFonts w:ascii="Arial" w:hAnsi="Arial" w:cs="Arial"/>
                <w:sz w:val="20"/>
                <w:szCs w:val="20"/>
                <w:lang w:val="en-US"/>
              </w:rPr>
            </w:pPr>
            <w:r>
              <w:rPr>
                <w:rFonts w:ascii="Arial" w:hAnsi="Arial" w:cs="Arial"/>
                <w:sz w:val="20"/>
                <w:szCs w:val="20"/>
                <w:lang w:val="en-GB"/>
              </w:rPr>
              <w:t xml:space="preserve">At </w:t>
            </w:r>
            <w:r>
              <w:rPr>
                <w:rFonts w:ascii="Arial" w:hAnsi="Arial" w:cs="Arial"/>
                <w:sz w:val="20"/>
              </w:rPr>
              <w:t>the premises of the Entity (</w:t>
            </w:r>
            <w:r w:rsidRPr="00B524EB">
              <w:rPr>
                <w:rFonts w:ascii="Arial" w:hAnsi="Arial" w:cs="Arial"/>
                <w:sz w:val="20"/>
                <w:szCs w:val="20"/>
                <w:lang w:val="en-US"/>
              </w:rPr>
              <w:t>Carrera 13 No. 27 – 00, Bogotá D.C.</w:t>
            </w:r>
          </w:p>
          <w:p w14:paraId="60F874A1" w14:textId="77777777" w:rsidR="00E31A83" w:rsidRDefault="00E31A83" w:rsidP="00E31A83">
            <w:pPr>
              <w:numPr>
                <w:ilvl w:val="0"/>
                <w:numId w:val="35"/>
              </w:numPr>
              <w:jc w:val="both"/>
              <w:rPr>
                <w:rFonts w:ascii="Arial" w:hAnsi="Arial" w:cs="Arial"/>
                <w:sz w:val="20"/>
              </w:rPr>
            </w:pPr>
            <w:r>
              <w:rPr>
                <w:rFonts w:ascii="Arial" w:hAnsi="Arial" w:cs="Arial"/>
                <w:sz w:val="20"/>
              </w:rPr>
              <w:t xml:space="preserve">- First floor) </w:t>
            </w:r>
          </w:p>
          <w:p w14:paraId="369F2E5D" w14:textId="77777777" w:rsidR="00E31A83" w:rsidRDefault="00E31A83" w:rsidP="00E31A83">
            <w:pPr>
              <w:numPr>
                <w:ilvl w:val="0"/>
                <w:numId w:val="35"/>
              </w:numPr>
              <w:jc w:val="both"/>
              <w:rPr>
                <w:rFonts w:ascii="Arial" w:hAnsi="Arial" w:cs="Arial"/>
                <w:sz w:val="20"/>
              </w:rPr>
            </w:pPr>
            <w:r>
              <w:rPr>
                <w:rFonts w:ascii="Arial" w:hAnsi="Arial" w:cs="Arial"/>
                <w:sz w:val="20"/>
              </w:rPr>
              <w:t>Virtually by mail (</w:t>
            </w:r>
            <w:hyperlink r:id="rId29" w:history="1">
              <w:r w:rsidRPr="000A5B72">
                <w:rPr>
                  <w:rStyle w:val="Hipervnculo"/>
                  <w:rFonts w:ascii="Arial" w:hAnsi="Arial" w:cs="Arial"/>
                  <w:sz w:val="20"/>
                </w:rPr>
                <w:t>contactenos@sic.gov.co</w:t>
              </w:r>
            </w:hyperlink>
            <w:r>
              <w:rPr>
                <w:rFonts w:ascii="Arial" w:hAnsi="Arial" w:cs="Arial"/>
                <w:sz w:val="20"/>
              </w:rPr>
              <w:t>)</w:t>
            </w:r>
          </w:p>
          <w:p w14:paraId="13C27284" w14:textId="77777777" w:rsidR="007B7C69" w:rsidRPr="00C3537E" w:rsidRDefault="007B7C69">
            <w:pPr>
              <w:spacing w:before="120"/>
              <w:rPr>
                <w:rFonts w:ascii="Arial" w:hAnsi="Arial" w:cs="Arial"/>
                <w:sz w:val="20"/>
                <w:lang w:val="en-GB"/>
              </w:rPr>
            </w:pPr>
          </w:p>
        </w:tc>
      </w:tr>
      <w:tr w:rsidR="007B7C69" w:rsidRPr="00C3537E" w14:paraId="23DFCEF5" w14:textId="77777777" w:rsidTr="00F87CF4">
        <w:tblPrEx>
          <w:shd w:val="clear" w:color="auto" w:fill="auto"/>
        </w:tblPrEx>
        <w:tc>
          <w:tcPr>
            <w:tcW w:w="3436" w:type="dxa"/>
            <w:tcBorders>
              <w:left w:val="nil"/>
            </w:tcBorders>
            <w:shd w:val="clear" w:color="auto" w:fill="F3DFC3"/>
          </w:tcPr>
          <w:p w14:paraId="68017EA1" w14:textId="77777777" w:rsidR="007B7C69" w:rsidRPr="00C3537E" w:rsidRDefault="007B7C69" w:rsidP="007B7C69">
            <w:pPr>
              <w:numPr>
                <w:ilvl w:val="0"/>
                <w:numId w:val="13"/>
              </w:numPr>
              <w:spacing w:before="120" w:after="120"/>
              <w:rPr>
                <w:rFonts w:ascii="Arial" w:hAnsi="Arial" w:cs="Arial"/>
                <w:b/>
                <w:sz w:val="20"/>
                <w:lang w:val="en-GB"/>
              </w:rPr>
            </w:pPr>
            <w:r w:rsidRPr="00C3537E">
              <w:rPr>
                <w:rFonts w:ascii="Arial" w:hAnsi="Arial" w:cs="Arial"/>
                <w:b/>
                <w:sz w:val="20"/>
                <w:lang w:val="en-GB"/>
              </w:rPr>
              <w:t>Are there other authorities which may assist the investigating agency? If yes, please name the authorities and the type of assistance they provide.</w:t>
            </w:r>
          </w:p>
        </w:tc>
        <w:tc>
          <w:tcPr>
            <w:tcW w:w="5826" w:type="dxa"/>
            <w:tcBorders>
              <w:right w:val="nil"/>
            </w:tcBorders>
          </w:tcPr>
          <w:p w14:paraId="1C63E63E" w14:textId="77777777" w:rsidR="00E31A83" w:rsidRPr="0034021A" w:rsidRDefault="00E31A83" w:rsidP="00E31A83">
            <w:pPr>
              <w:jc w:val="both"/>
              <w:rPr>
                <w:rFonts w:ascii="Arial" w:hAnsi="Arial" w:cs="Arial"/>
                <w:sz w:val="20"/>
                <w:szCs w:val="20"/>
                <w:shd w:val="clear" w:color="auto" w:fill="FFFFFF"/>
              </w:rPr>
            </w:pPr>
            <w:r w:rsidRPr="006814A6">
              <w:rPr>
                <w:rFonts w:ascii="Arial" w:hAnsi="Arial" w:cs="Arial"/>
                <w:sz w:val="20"/>
                <w:szCs w:val="20"/>
                <w:shd w:val="clear" w:color="auto" w:fill="FFFFFF"/>
              </w:rPr>
              <w:t xml:space="preserve">Article 113 of the Colombian Political Constitution </w:t>
            </w:r>
            <w:r>
              <w:rPr>
                <w:rFonts w:ascii="Arial" w:hAnsi="Arial" w:cs="Arial"/>
                <w:sz w:val="20"/>
                <w:szCs w:val="20"/>
                <w:shd w:val="clear" w:color="auto" w:fill="FFFFFF"/>
              </w:rPr>
              <w:t>e</w:t>
            </w:r>
            <w:r w:rsidRPr="006814A6">
              <w:rPr>
                <w:rFonts w:ascii="Arial" w:hAnsi="Arial" w:cs="Arial"/>
                <w:sz w:val="20"/>
                <w:szCs w:val="20"/>
                <w:shd w:val="clear" w:color="auto" w:fill="FFFFFF"/>
              </w:rPr>
              <w:t xml:space="preserve">stablishes </w:t>
            </w:r>
            <w:r w:rsidRPr="0034021A">
              <w:rPr>
                <w:rFonts w:ascii="Arial" w:hAnsi="Arial" w:cs="Arial"/>
                <w:sz w:val="20"/>
                <w:szCs w:val="20"/>
                <w:shd w:val="clear" w:color="auto" w:fill="FFFFFF"/>
              </w:rPr>
              <w:t xml:space="preserve">that all the Colombian state entities must collaborate between them. Such colaboration materiallise within the signing of inter-administrave agreements. In this case, for example, some of the public authorities that provide assistance to the SIC, are: </w:t>
            </w:r>
          </w:p>
          <w:p w14:paraId="3F84A6C0" w14:textId="77777777" w:rsidR="00E31A83" w:rsidRPr="0034021A" w:rsidRDefault="00E31A83" w:rsidP="00E31A83">
            <w:pPr>
              <w:jc w:val="both"/>
              <w:rPr>
                <w:rFonts w:ascii="Arial" w:hAnsi="Arial" w:cs="Arial"/>
                <w:sz w:val="20"/>
                <w:szCs w:val="20"/>
                <w:lang w:val="en-GB"/>
              </w:rPr>
            </w:pPr>
          </w:p>
          <w:p w14:paraId="5EFDDF80" w14:textId="77777777" w:rsidR="00E31A83" w:rsidRPr="0034021A" w:rsidRDefault="00E31A83" w:rsidP="00E31A83">
            <w:pPr>
              <w:numPr>
                <w:ilvl w:val="0"/>
                <w:numId w:val="36"/>
              </w:numPr>
              <w:jc w:val="both"/>
              <w:rPr>
                <w:rFonts w:ascii="Arial" w:hAnsi="Arial" w:cs="Arial"/>
                <w:sz w:val="20"/>
                <w:szCs w:val="20"/>
                <w:lang w:val="en-GB"/>
              </w:rPr>
            </w:pPr>
            <w:r w:rsidRPr="0034021A">
              <w:rPr>
                <w:rFonts w:ascii="Arial" w:hAnsi="Arial" w:cs="Arial"/>
                <w:sz w:val="20"/>
                <w:szCs w:val="20"/>
                <w:shd w:val="clear" w:color="auto" w:fill="FFFFFF"/>
              </w:rPr>
              <w:t>Office of the Attorney General (</w:t>
            </w:r>
            <w:r w:rsidRPr="0034021A">
              <w:rPr>
                <w:rFonts w:ascii="Arial" w:hAnsi="Arial" w:cs="Arial"/>
                <w:sz w:val="20"/>
                <w:szCs w:val="20"/>
                <w:lang w:val="en-GB"/>
              </w:rPr>
              <w:t>Fiscalía General de la Nación)</w:t>
            </w:r>
            <w:r w:rsidRPr="0034021A">
              <w:rPr>
                <w:rFonts w:ascii="Arial" w:hAnsi="Arial" w:cs="Arial"/>
                <w:sz w:val="20"/>
                <w:szCs w:val="20"/>
                <w:shd w:val="clear" w:color="auto" w:fill="FFFFFF"/>
              </w:rPr>
              <w:t>: Transfer of evidence; sharing special markets knowledge; specialized recollection of evidence; manteining chain of custody.</w:t>
            </w:r>
          </w:p>
          <w:p w14:paraId="4C7423D7" w14:textId="77777777" w:rsidR="00E31A83" w:rsidRPr="0034021A" w:rsidRDefault="00E31A83" w:rsidP="00E31A83">
            <w:pPr>
              <w:numPr>
                <w:ilvl w:val="0"/>
                <w:numId w:val="36"/>
              </w:numPr>
              <w:jc w:val="both"/>
              <w:rPr>
                <w:rFonts w:ascii="Arial" w:hAnsi="Arial" w:cs="Arial"/>
                <w:sz w:val="20"/>
                <w:szCs w:val="20"/>
                <w:lang w:val="en-GB"/>
              </w:rPr>
            </w:pPr>
            <w:r w:rsidRPr="0034021A">
              <w:rPr>
                <w:rFonts w:ascii="Arial" w:hAnsi="Arial" w:cs="Arial"/>
                <w:sz w:val="20"/>
                <w:szCs w:val="20"/>
                <w:shd w:val="clear" w:color="auto" w:fill="FFFFFF"/>
              </w:rPr>
              <w:t>National Police Forces (Policia Nacional): Special protection of the SIC’s officers when carrying out a dawn raid.</w:t>
            </w:r>
          </w:p>
          <w:p w14:paraId="1E8FCFFD" w14:textId="77777777" w:rsidR="00111A95" w:rsidRPr="00111A95" w:rsidRDefault="00E31A83" w:rsidP="00111A95">
            <w:pPr>
              <w:numPr>
                <w:ilvl w:val="0"/>
                <w:numId w:val="36"/>
              </w:numPr>
              <w:jc w:val="both"/>
              <w:rPr>
                <w:rFonts w:ascii="Arial" w:hAnsi="Arial" w:cs="Arial"/>
                <w:sz w:val="20"/>
                <w:szCs w:val="20"/>
                <w:lang w:val="en-GB"/>
              </w:rPr>
            </w:pPr>
            <w:r w:rsidRPr="0034021A">
              <w:rPr>
                <w:rFonts w:ascii="Arial" w:hAnsi="Arial" w:cs="Arial"/>
                <w:sz w:val="20"/>
                <w:szCs w:val="20"/>
              </w:rPr>
              <w:t>National Intelligence Agency</w:t>
            </w:r>
            <w:r w:rsidRPr="0034021A">
              <w:rPr>
                <w:rFonts w:ascii="Arial" w:hAnsi="Arial" w:cs="Arial"/>
                <w:sz w:val="20"/>
                <w:szCs w:val="20"/>
                <w:shd w:val="clear" w:color="auto" w:fill="FFFFFF"/>
              </w:rPr>
              <w:t xml:space="preserve">: This entity shares knowledge </w:t>
            </w:r>
            <w:r>
              <w:rPr>
                <w:rFonts w:ascii="Arial" w:hAnsi="Arial" w:cs="Arial"/>
                <w:sz w:val="20"/>
                <w:szCs w:val="20"/>
                <w:shd w:val="clear" w:color="auto" w:fill="FFFFFF"/>
              </w:rPr>
              <w:t>on</w:t>
            </w:r>
            <w:r w:rsidRPr="0034021A">
              <w:rPr>
                <w:rFonts w:ascii="Arial" w:hAnsi="Arial" w:cs="Arial"/>
                <w:sz w:val="20"/>
                <w:szCs w:val="20"/>
                <w:shd w:val="clear" w:color="auto" w:fill="FFFFFF"/>
              </w:rPr>
              <w:t xml:space="preserve"> research techniques.</w:t>
            </w:r>
          </w:p>
          <w:p w14:paraId="0E2AF16F" w14:textId="77777777" w:rsidR="00FD523E" w:rsidRPr="00E45DDF" w:rsidRDefault="00E31A83" w:rsidP="00FD523E">
            <w:pPr>
              <w:numPr>
                <w:ilvl w:val="0"/>
                <w:numId w:val="36"/>
              </w:numPr>
              <w:jc w:val="both"/>
              <w:rPr>
                <w:rFonts w:ascii="Arial" w:hAnsi="Arial" w:cs="Arial"/>
                <w:sz w:val="20"/>
                <w:szCs w:val="20"/>
                <w:lang w:val="en-GB"/>
              </w:rPr>
            </w:pPr>
            <w:r w:rsidRPr="00111A95">
              <w:rPr>
                <w:rFonts w:ascii="Arial" w:hAnsi="Arial" w:cs="Arial"/>
                <w:sz w:val="20"/>
                <w:szCs w:val="20"/>
              </w:rPr>
              <w:t>Financial Information and Analysis Unit (UIAF, by its acronym in Spanish)</w:t>
            </w:r>
            <w:r w:rsidR="00E45DDF">
              <w:rPr>
                <w:rFonts w:ascii="Arial" w:hAnsi="Arial" w:cs="Arial"/>
                <w:sz w:val="20"/>
                <w:szCs w:val="20"/>
              </w:rPr>
              <w:t>.</w:t>
            </w:r>
          </w:p>
          <w:p w14:paraId="207CDE9B" w14:textId="77777777" w:rsidR="00E45DDF" w:rsidRPr="00E45DDF" w:rsidRDefault="00E45DDF" w:rsidP="00FD523E">
            <w:pPr>
              <w:numPr>
                <w:ilvl w:val="0"/>
                <w:numId w:val="36"/>
              </w:numPr>
              <w:jc w:val="both"/>
              <w:rPr>
                <w:rFonts w:ascii="Arial" w:hAnsi="Arial" w:cs="Arial"/>
                <w:sz w:val="20"/>
                <w:szCs w:val="20"/>
                <w:lang w:val="en-GB"/>
              </w:rPr>
            </w:pPr>
            <w:r>
              <w:rPr>
                <w:rFonts w:ascii="Arial" w:hAnsi="Arial" w:cs="Arial"/>
                <w:sz w:val="20"/>
                <w:szCs w:val="20"/>
              </w:rPr>
              <w:t xml:space="preserve">Public Ministry: </w:t>
            </w:r>
            <w:r w:rsidRPr="0034021A">
              <w:rPr>
                <w:rFonts w:ascii="Arial" w:hAnsi="Arial" w:cs="Arial"/>
                <w:sz w:val="20"/>
                <w:szCs w:val="20"/>
                <w:shd w:val="clear" w:color="auto" w:fill="FFFFFF"/>
              </w:rPr>
              <w:t>Transfer of evidence; sharing special markets knowledge; specialized recollection of evidence; manteining chain of custody.</w:t>
            </w:r>
          </w:p>
          <w:p w14:paraId="7174AB62" w14:textId="77777777" w:rsidR="00E45DDF" w:rsidRPr="00FD523E" w:rsidRDefault="00E45DDF" w:rsidP="00FD523E">
            <w:pPr>
              <w:numPr>
                <w:ilvl w:val="0"/>
                <w:numId w:val="36"/>
              </w:numPr>
              <w:jc w:val="both"/>
              <w:rPr>
                <w:rFonts w:ascii="Arial" w:hAnsi="Arial" w:cs="Arial"/>
                <w:sz w:val="20"/>
                <w:szCs w:val="20"/>
                <w:lang w:val="en-GB"/>
              </w:rPr>
            </w:pPr>
            <w:r>
              <w:rPr>
                <w:rFonts w:ascii="Arial" w:hAnsi="Arial" w:cs="Arial"/>
                <w:sz w:val="20"/>
                <w:szCs w:val="20"/>
              </w:rPr>
              <w:t>National Statistics Deparment (DANE,</w:t>
            </w:r>
            <w:r w:rsidRPr="00111A95">
              <w:rPr>
                <w:rFonts w:ascii="Arial" w:hAnsi="Arial" w:cs="Arial"/>
                <w:sz w:val="20"/>
                <w:szCs w:val="20"/>
              </w:rPr>
              <w:t xml:space="preserve"> by its acronym in Spanish)</w:t>
            </w:r>
            <w:r>
              <w:rPr>
                <w:rFonts w:ascii="Arial" w:hAnsi="Arial" w:cs="Arial"/>
                <w:sz w:val="20"/>
                <w:szCs w:val="20"/>
              </w:rPr>
              <w:t xml:space="preserve">: </w:t>
            </w:r>
            <w:r w:rsidRPr="0034021A">
              <w:rPr>
                <w:rFonts w:ascii="Arial" w:hAnsi="Arial" w:cs="Arial"/>
                <w:sz w:val="20"/>
                <w:szCs w:val="20"/>
                <w:shd w:val="clear" w:color="auto" w:fill="FFFFFF"/>
              </w:rPr>
              <w:t>Transfer</w:t>
            </w:r>
            <w:r>
              <w:rPr>
                <w:rFonts w:ascii="Arial" w:hAnsi="Arial" w:cs="Arial"/>
                <w:sz w:val="20"/>
                <w:szCs w:val="20"/>
                <w:shd w:val="clear" w:color="auto" w:fill="FFFFFF"/>
              </w:rPr>
              <w:t xml:space="preserve"> of information that could be an imput in the framework of antitrust investigations by the Competition Authority.  </w:t>
            </w:r>
          </w:p>
        </w:tc>
      </w:tr>
    </w:tbl>
    <w:p w14:paraId="5C134653" w14:textId="77777777" w:rsidR="007B7C69" w:rsidRPr="00C3537E" w:rsidRDefault="007B7C69">
      <w:pPr>
        <w:pStyle w:val="Textoindependiente"/>
        <w:rPr>
          <w:rFonts w:ascii="Arial" w:hAnsi="Arial" w:cs="Arial"/>
          <w:lang w:val="en-GB"/>
        </w:rPr>
      </w:pPr>
    </w:p>
    <w:p w14:paraId="6A7DB644" w14:textId="77777777" w:rsidR="007B7C69" w:rsidRPr="00C3537E" w:rsidRDefault="007B7C69">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72"/>
        <w:gridCol w:w="5664"/>
      </w:tblGrid>
      <w:tr w:rsidR="007B7C69" w:rsidRPr="00C3537E" w14:paraId="178F05D2" w14:textId="77777777" w:rsidTr="00111A95">
        <w:tc>
          <w:tcPr>
            <w:tcW w:w="9036" w:type="dxa"/>
            <w:gridSpan w:val="2"/>
            <w:shd w:val="clear" w:color="auto" w:fill="61243B"/>
          </w:tcPr>
          <w:p w14:paraId="73C63FEB"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lastRenderedPageBreak/>
              <w:t>Decision-making institution(s)</w:t>
            </w:r>
            <w:r w:rsidRPr="00C3537E">
              <w:rPr>
                <w:rStyle w:val="Refdenotaalpie"/>
                <w:rFonts w:cs="Arial"/>
                <w:color w:val="FFFFFF"/>
                <w:lang w:val="en-GB"/>
              </w:rPr>
              <w:footnoteReference w:id="5"/>
            </w:r>
            <w:r w:rsidRPr="00C3537E">
              <w:rPr>
                <w:rFonts w:ascii="Arial" w:hAnsi="Arial" w:cs="Arial"/>
                <w:color w:val="FFFFFF"/>
                <w:sz w:val="28"/>
                <w:lang w:val="en-GB"/>
              </w:rPr>
              <w:t xml:space="preserve"> [to be filled in only if this is different from the investigating agency]</w:t>
            </w:r>
          </w:p>
        </w:tc>
      </w:tr>
      <w:tr w:rsidR="007B7C69" w:rsidRPr="00C3537E" w14:paraId="2EDEA416" w14:textId="77777777" w:rsidTr="00111A95">
        <w:tblPrEx>
          <w:shd w:val="clear" w:color="auto" w:fill="auto"/>
        </w:tblPrEx>
        <w:tc>
          <w:tcPr>
            <w:tcW w:w="3372" w:type="dxa"/>
            <w:tcBorders>
              <w:left w:val="nil"/>
            </w:tcBorders>
            <w:shd w:val="clear" w:color="auto" w:fill="F3DFC3"/>
          </w:tcPr>
          <w:p w14:paraId="64DF0F0C" w14:textId="77777777" w:rsidR="007B7C69" w:rsidRPr="00C3537E" w:rsidRDefault="007B7C69" w:rsidP="007B7C69">
            <w:pPr>
              <w:numPr>
                <w:ilvl w:val="0"/>
                <w:numId w:val="14"/>
              </w:numPr>
              <w:spacing w:before="120" w:after="120"/>
              <w:rPr>
                <w:rFonts w:ascii="Arial" w:hAnsi="Arial" w:cs="Arial"/>
                <w:b/>
                <w:bCs/>
                <w:sz w:val="20"/>
                <w:lang w:val="en-GB"/>
              </w:rPr>
            </w:pPr>
            <w:r w:rsidRPr="00C3537E">
              <w:rPr>
                <w:rFonts w:ascii="Arial" w:hAnsi="Arial" w:cs="Arial"/>
                <w:b/>
                <w:sz w:val="20"/>
                <w:lang w:val="en-GB"/>
              </w:rPr>
              <w:t>Name of the agency making decisions in cartel cases: [if there is more than one agency, please describe the allocation of responsibilities.]</w:t>
            </w:r>
          </w:p>
        </w:tc>
        <w:tc>
          <w:tcPr>
            <w:tcW w:w="5664" w:type="dxa"/>
            <w:tcBorders>
              <w:right w:val="nil"/>
            </w:tcBorders>
          </w:tcPr>
          <w:p w14:paraId="5C511D51" w14:textId="77777777" w:rsidR="007B7C69" w:rsidRPr="00C3537E" w:rsidRDefault="00111A95" w:rsidP="00111A95">
            <w:pPr>
              <w:spacing w:before="120"/>
              <w:jc w:val="both"/>
              <w:rPr>
                <w:rFonts w:ascii="Arial" w:hAnsi="Arial" w:cs="Arial"/>
                <w:lang w:val="en-GB"/>
              </w:rPr>
            </w:pPr>
            <w:r>
              <w:rPr>
                <w:rFonts w:ascii="Arial" w:hAnsi="Arial" w:cs="Arial"/>
                <w:sz w:val="20"/>
                <w:szCs w:val="20"/>
                <w:lang w:val="en-GB"/>
              </w:rPr>
              <w:t>Both, i</w:t>
            </w:r>
            <w:r w:rsidRPr="00203F80">
              <w:rPr>
                <w:rFonts w:ascii="Arial" w:hAnsi="Arial" w:cs="Arial"/>
                <w:sz w:val="20"/>
                <w:szCs w:val="20"/>
                <w:lang w:val="en-GB"/>
              </w:rPr>
              <w:t xml:space="preserve">nvestigation and decision </w:t>
            </w:r>
            <w:r>
              <w:rPr>
                <w:rFonts w:ascii="Arial" w:hAnsi="Arial" w:cs="Arial"/>
                <w:sz w:val="20"/>
                <w:szCs w:val="20"/>
                <w:lang w:val="en-GB"/>
              </w:rPr>
              <w:t xml:space="preserve">stages, </w:t>
            </w:r>
            <w:r w:rsidRPr="00203F80">
              <w:rPr>
                <w:rFonts w:ascii="Arial" w:hAnsi="Arial" w:cs="Arial"/>
                <w:sz w:val="20"/>
                <w:szCs w:val="20"/>
                <w:lang w:val="en-GB"/>
              </w:rPr>
              <w:t xml:space="preserve">are conducted in the SIC. However, the first one is in charge of the Deputy Superintendence for Competition Protection, and the latter is in charge of the Superintendent of Industry and Commerce’s Office. Therefore, the decision </w:t>
            </w:r>
            <w:r>
              <w:rPr>
                <w:rFonts w:ascii="Arial" w:hAnsi="Arial" w:cs="Arial"/>
                <w:sz w:val="20"/>
                <w:szCs w:val="20"/>
                <w:lang w:val="en-GB"/>
              </w:rPr>
              <w:t>process is in charge of the</w:t>
            </w:r>
            <w:r w:rsidR="003C2E2E">
              <w:rPr>
                <w:rFonts w:ascii="Arial" w:hAnsi="Arial" w:cs="Arial"/>
                <w:sz w:val="20"/>
                <w:szCs w:val="20"/>
                <w:lang w:val="en-GB"/>
              </w:rPr>
              <w:t xml:space="preserve"> </w:t>
            </w:r>
            <w:r w:rsidRPr="00764941">
              <w:rPr>
                <w:rFonts w:ascii="Arial" w:hAnsi="Arial" w:cs="Arial"/>
                <w:b/>
                <w:sz w:val="20"/>
                <w:szCs w:val="20"/>
                <w:lang w:val="en-GB"/>
              </w:rPr>
              <w:t>Superintendent of Industry and Commerce</w:t>
            </w:r>
            <w:r w:rsidR="00E45DDF">
              <w:rPr>
                <w:rFonts w:ascii="Arial" w:hAnsi="Arial" w:cs="Arial"/>
                <w:b/>
                <w:sz w:val="20"/>
                <w:szCs w:val="20"/>
                <w:lang w:val="en-GB"/>
              </w:rPr>
              <w:t>.</w:t>
            </w:r>
          </w:p>
        </w:tc>
      </w:tr>
      <w:tr w:rsidR="007B7C69" w:rsidRPr="00C3537E" w14:paraId="158F492D" w14:textId="77777777" w:rsidTr="00111A95">
        <w:tblPrEx>
          <w:shd w:val="clear" w:color="auto" w:fill="auto"/>
        </w:tblPrEx>
        <w:tc>
          <w:tcPr>
            <w:tcW w:w="3372" w:type="dxa"/>
            <w:tcBorders>
              <w:left w:val="nil"/>
            </w:tcBorders>
            <w:shd w:val="clear" w:color="auto" w:fill="F3DFC3"/>
          </w:tcPr>
          <w:p w14:paraId="2E49BCE8" w14:textId="77777777" w:rsidR="007B7C69" w:rsidRPr="00C3537E" w:rsidRDefault="007B7C69" w:rsidP="007B7C69">
            <w:pPr>
              <w:numPr>
                <w:ilvl w:val="0"/>
                <w:numId w:val="14"/>
              </w:numPr>
              <w:spacing w:before="120" w:after="120"/>
              <w:rPr>
                <w:rFonts w:ascii="Arial" w:hAnsi="Arial" w:cs="Arial"/>
                <w:b/>
                <w:bCs/>
                <w:sz w:val="20"/>
                <w:lang w:val="en-GB"/>
              </w:rPr>
            </w:pPr>
            <w:r w:rsidRPr="00C3537E">
              <w:rPr>
                <w:rFonts w:ascii="Arial" w:hAnsi="Arial" w:cs="Arial"/>
                <w:b/>
                <w:sz w:val="20"/>
                <w:lang w:val="en-GB"/>
              </w:rPr>
              <w:t>Contact details of the agency: [address, telephone and fax including the country code, email, website address and languages available on the website]</w:t>
            </w:r>
          </w:p>
        </w:tc>
        <w:tc>
          <w:tcPr>
            <w:tcW w:w="5664" w:type="dxa"/>
            <w:tcBorders>
              <w:right w:val="nil"/>
            </w:tcBorders>
          </w:tcPr>
          <w:p w14:paraId="5DE0CCBF" w14:textId="77777777" w:rsidR="00111A95" w:rsidRPr="00203F80" w:rsidRDefault="00111A95" w:rsidP="00111A95">
            <w:pPr>
              <w:jc w:val="both"/>
              <w:rPr>
                <w:rFonts w:ascii="Arial" w:hAnsi="Arial" w:cs="Arial"/>
                <w:sz w:val="20"/>
                <w:szCs w:val="20"/>
                <w:lang w:val="en-US"/>
              </w:rPr>
            </w:pPr>
            <w:r w:rsidRPr="00203F80">
              <w:rPr>
                <w:rFonts w:ascii="Arial" w:hAnsi="Arial" w:cs="Arial"/>
                <w:sz w:val="20"/>
                <w:szCs w:val="20"/>
                <w:lang w:val="en-US"/>
              </w:rPr>
              <w:t>Office of the Superintendent of Industry and Commerce</w:t>
            </w:r>
          </w:p>
          <w:p w14:paraId="141BABA2" w14:textId="77777777" w:rsidR="00111A95" w:rsidRDefault="00111A95" w:rsidP="00111A95">
            <w:pPr>
              <w:jc w:val="both"/>
              <w:rPr>
                <w:rFonts w:ascii="Arial" w:hAnsi="Arial" w:cs="Arial"/>
                <w:sz w:val="20"/>
                <w:szCs w:val="20"/>
                <w:lang w:val="en-US"/>
              </w:rPr>
            </w:pPr>
            <w:r w:rsidRPr="00203F80">
              <w:rPr>
                <w:rFonts w:ascii="Arial" w:hAnsi="Arial" w:cs="Arial"/>
                <w:sz w:val="20"/>
                <w:szCs w:val="20"/>
                <w:lang w:val="en-US"/>
              </w:rPr>
              <w:t xml:space="preserve">Carrera 13 No. 27 – 00, </w:t>
            </w:r>
          </w:p>
          <w:p w14:paraId="04941D14" w14:textId="77777777" w:rsidR="00111A95" w:rsidRDefault="00111A95" w:rsidP="00111A95">
            <w:pPr>
              <w:jc w:val="both"/>
              <w:rPr>
                <w:rFonts w:ascii="Arial" w:hAnsi="Arial" w:cs="Arial"/>
                <w:sz w:val="20"/>
                <w:szCs w:val="20"/>
                <w:lang w:val="en-GB"/>
              </w:rPr>
            </w:pPr>
            <w:r w:rsidRPr="00203F80">
              <w:rPr>
                <w:rFonts w:ascii="Arial" w:hAnsi="Arial" w:cs="Arial"/>
                <w:sz w:val="20"/>
                <w:szCs w:val="20"/>
                <w:lang w:val="en-GB"/>
              </w:rPr>
              <w:t>10th Floor</w:t>
            </w:r>
          </w:p>
          <w:p w14:paraId="412C36B9" w14:textId="77777777" w:rsidR="00111A95" w:rsidRPr="00203F80" w:rsidRDefault="00111A95" w:rsidP="00111A95">
            <w:pPr>
              <w:jc w:val="both"/>
              <w:rPr>
                <w:rFonts w:ascii="Arial" w:hAnsi="Arial" w:cs="Arial"/>
                <w:sz w:val="20"/>
                <w:szCs w:val="20"/>
                <w:lang w:val="en-US"/>
              </w:rPr>
            </w:pPr>
            <w:r w:rsidRPr="00203F80">
              <w:rPr>
                <w:rFonts w:ascii="Arial" w:hAnsi="Arial" w:cs="Arial"/>
                <w:sz w:val="20"/>
                <w:szCs w:val="20"/>
                <w:lang w:val="en-US"/>
              </w:rPr>
              <w:t>Bogotá D.C.</w:t>
            </w:r>
            <w:r>
              <w:rPr>
                <w:rFonts w:ascii="Arial" w:hAnsi="Arial" w:cs="Arial"/>
                <w:sz w:val="20"/>
                <w:szCs w:val="20"/>
                <w:lang w:val="en-US"/>
              </w:rPr>
              <w:t xml:space="preserve"> – Colombia </w:t>
            </w:r>
          </w:p>
          <w:p w14:paraId="583C225C"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Phone: +57 1 5870000, ext. 10004 or 10005</w:t>
            </w:r>
          </w:p>
          <w:p w14:paraId="15FF0462"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 xml:space="preserve">Mail: </w:t>
            </w:r>
            <w:hyperlink r:id="rId30" w:history="1">
              <w:r w:rsidRPr="00203F80">
                <w:rPr>
                  <w:rStyle w:val="Hipervnculo"/>
                  <w:rFonts w:ascii="Arial" w:hAnsi="Arial" w:cs="Arial"/>
                  <w:sz w:val="20"/>
                  <w:szCs w:val="20"/>
                  <w:lang w:val="en-GB"/>
                </w:rPr>
                <w:t>contactenos@sic.gov.co</w:t>
              </w:r>
            </w:hyperlink>
            <w:r w:rsidRPr="00203F80">
              <w:rPr>
                <w:rFonts w:ascii="Arial" w:hAnsi="Arial" w:cs="Arial"/>
                <w:sz w:val="20"/>
                <w:szCs w:val="20"/>
                <w:lang w:val="en-GB"/>
              </w:rPr>
              <w:t xml:space="preserve"> or </w:t>
            </w:r>
            <w:hyperlink r:id="rId31" w:history="1">
              <w:r w:rsidRPr="00203F80">
                <w:rPr>
                  <w:rStyle w:val="Hipervnculo"/>
                  <w:rFonts w:ascii="Arial" w:hAnsi="Arial" w:cs="Arial"/>
                  <w:sz w:val="20"/>
                  <w:szCs w:val="20"/>
                </w:rPr>
                <w:t>superintendente@sic.gov.co</w:t>
              </w:r>
            </w:hyperlink>
          </w:p>
          <w:p w14:paraId="7357D8B9"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 xml:space="preserve">Webpage: </w:t>
            </w:r>
            <w:hyperlink r:id="rId32" w:history="1">
              <w:r w:rsidRPr="00203F80">
                <w:rPr>
                  <w:rStyle w:val="Hipervnculo"/>
                  <w:rFonts w:ascii="Arial" w:hAnsi="Arial" w:cs="Arial"/>
                  <w:sz w:val="20"/>
                  <w:szCs w:val="20"/>
                  <w:lang w:val="en-GB"/>
                </w:rPr>
                <w:t>www.sic.gov.co</w:t>
              </w:r>
            </w:hyperlink>
          </w:p>
          <w:p w14:paraId="0C222919" w14:textId="77777777" w:rsidR="007B7C69" w:rsidRPr="00C3537E" w:rsidRDefault="00111A95" w:rsidP="00111A95">
            <w:pPr>
              <w:spacing w:before="120"/>
              <w:rPr>
                <w:rFonts w:ascii="Arial" w:hAnsi="Arial" w:cs="Arial"/>
                <w:sz w:val="20"/>
                <w:lang w:val="en-GB"/>
              </w:rPr>
            </w:pPr>
            <w:r w:rsidRPr="00203F80">
              <w:rPr>
                <w:rFonts w:ascii="Arial" w:hAnsi="Arial" w:cs="Arial"/>
                <w:sz w:val="20"/>
                <w:szCs w:val="20"/>
                <w:lang w:val="en-GB"/>
              </w:rPr>
              <w:t>Language: Spanish</w:t>
            </w:r>
          </w:p>
        </w:tc>
      </w:tr>
      <w:tr w:rsidR="00111A95" w:rsidRPr="00C3537E" w14:paraId="2B14556E" w14:textId="77777777" w:rsidTr="00111A95">
        <w:tblPrEx>
          <w:shd w:val="clear" w:color="auto" w:fill="auto"/>
        </w:tblPrEx>
        <w:tc>
          <w:tcPr>
            <w:tcW w:w="3372" w:type="dxa"/>
            <w:tcBorders>
              <w:left w:val="nil"/>
            </w:tcBorders>
            <w:shd w:val="clear" w:color="auto" w:fill="F3DFC3"/>
          </w:tcPr>
          <w:p w14:paraId="34F6F374" w14:textId="77777777" w:rsidR="00111A95" w:rsidRPr="00C3537E" w:rsidRDefault="00111A95" w:rsidP="00111A95">
            <w:pPr>
              <w:numPr>
                <w:ilvl w:val="0"/>
                <w:numId w:val="14"/>
              </w:numPr>
              <w:spacing w:before="120" w:after="120"/>
              <w:rPr>
                <w:rFonts w:ascii="Arial" w:hAnsi="Arial" w:cs="Arial"/>
                <w:b/>
                <w:bCs/>
                <w:sz w:val="20"/>
                <w:lang w:val="en-GB"/>
              </w:rPr>
            </w:pPr>
            <w:r w:rsidRPr="00C3537E">
              <w:rPr>
                <w:rFonts w:ascii="Arial" w:hAnsi="Arial" w:cs="Arial"/>
                <w:b/>
                <w:sz w:val="20"/>
                <w:lang w:val="en-GB"/>
              </w:rPr>
              <w:t>Contact point for questions and consultations:</w:t>
            </w:r>
          </w:p>
        </w:tc>
        <w:tc>
          <w:tcPr>
            <w:tcW w:w="5664" w:type="dxa"/>
            <w:tcBorders>
              <w:right w:val="nil"/>
            </w:tcBorders>
          </w:tcPr>
          <w:p w14:paraId="00E67426" w14:textId="77777777" w:rsidR="00111A95" w:rsidRPr="00B8622C" w:rsidRDefault="00111A95" w:rsidP="00111A95">
            <w:pPr>
              <w:jc w:val="both"/>
              <w:rPr>
                <w:rFonts w:ascii="Arial" w:hAnsi="Arial" w:cs="Arial"/>
                <w:sz w:val="20"/>
                <w:szCs w:val="20"/>
                <w:shd w:val="clear" w:color="auto" w:fill="FFFFFF"/>
              </w:rPr>
            </w:pPr>
            <w:r w:rsidRPr="00B8622C">
              <w:rPr>
                <w:rFonts w:ascii="Arial" w:hAnsi="Arial" w:cs="Arial"/>
                <w:sz w:val="20"/>
                <w:szCs w:val="20"/>
                <w:lang w:val="en-GB"/>
              </w:rPr>
              <w:t xml:space="preserve">The Entity has </w:t>
            </w:r>
            <w:r w:rsidRPr="00B8622C">
              <w:rPr>
                <w:rFonts w:ascii="Arial" w:hAnsi="Arial" w:cs="Arial"/>
                <w:sz w:val="20"/>
                <w:szCs w:val="20"/>
                <w:shd w:val="clear" w:color="auto" w:fill="FFFFFF"/>
              </w:rPr>
              <w:t xml:space="preserve">provided the following information points: </w:t>
            </w:r>
          </w:p>
          <w:p w14:paraId="24028277" w14:textId="77777777" w:rsidR="00111A95" w:rsidRPr="00B8622C" w:rsidRDefault="00111A95" w:rsidP="00111A95">
            <w:pPr>
              <w:jc w:val="both"/>
              <w:rPr>
                <w:rFonts w:ascii="Arial" w:hAnsi="Arial" w:cs="Arial"/>
                <w:color w:val="212121"/>
                <w:sz w:val="20"/>
                <w:szCs w:val="20"/>
                <w:shd w:val="clear" w:color="auto" w:fill="FFFFFF"/>
              </w:rPr>
            </w:pPr>
          </w:p>
          <w:p w14:paraId="0F53CC9A" w14:textId="77777777" w:rsidR="00111A95" w:rsidRPr="00B8622C" w:rsidRDefault="00111A95" w:rsidP="00111A95">
            <w:pPr>
              <w:pStyle w:val="Ttulo3"/>
              <w:tabs>
                <w:tab w:val="clear" w:pos="1800"/>
              </w:tabs>
              <w:spacing w:after="0"/>
              <w:ind w:left="232" w:hanging="232"/>
              <w:jc w:val="both"/>
              <w:rPr>
                <w:rFonts w:ascii="Arial" w:hAnsi="Arial" w:cs="Arial"/>
                <w:sz w:val="20"/>
              </w:rPr>
            </w:pPr>
            <w:r w:rsidRPr="00B8622C">
              <w:rPr>
                <w:rFonts w:ascii="Arial" w:hAnsi="Arial" w:cs="Arial"/>
                <w:sz w:val="20"/>
              </w:rPr>
              <w:t xml:space="preserve">At the premises of the Entity. </w:t>
            </w:r>
          </w:p>
          <w:p w14:paraId="1CDCE5DC" w14:textId="77777777" w:rsidR="00111A95" w:rsidRPr="00B8622C" w:rsidRDefault="00111A95" w:rsidP="00111A95">
            <w:pPr>
              <w:pStyle w:val="Ttulo3"/>
              <w:tabs>
                <w:tab w:val="clear" w:pos="1800"/>
              </w:tabs>
              <w:spacing w:after="0"/>
              <w:ind w:left="232" w:hanging="232"/>
              <w:jc w:val="both"/>
              <w:rPr>
                <w:rFonts w:ascii="Arial" w:hAnsi="Arial" w:cs="Arial"/>
                <w:sz w:val="20"/>
              </w:rPr>
            </w:pPr>
            <w:r w:rsidRPr="00B8622C">
              <w:rPr>
                <w:rFonts w:ascii="Arial" w:hAnsi="Arial" w:cs="Arial"/>
                <w:sz w:val="20"/>
              </w:rPr>
              <w:t xml:space="preserve">On the website: </w:t>
            </w:r>
            <w:hyperlink r:id="rId33" w:history="1">
              <w:r w:rsidRPr="00B8622C">
                <w:rPr>
                  <w:rStyle w:val="Hipervnculo"/>
                  <w:rFonts w:ascii="Arial" w:hAnsi="Arial" w:cs="Arial"/>
                  <w:sz w:val="20"/>
                </w:rPr>
                <w:t>http://www.sic.gov.co/asesoria-en-linea</w:t>
              </w:r>
            </w:hyperlink>
          </w:p>
          <w:p w14:paraId="616AE3B4" w14:textId="77777777" w:rsidR="00111A95" w:rsidRPr="00B8622C" w:rsidRDefault="00111A95" w:rsidP="00111A95">
            <w:pPr>
              <w:pStyle w:val="Ttulo3"/>
              <w:tabs>
                <w:tab w:val="clear" w:pos="1800"/>
              </w:tabs>
              <w:spacing w:after="0"/>
              <w:ind w:left="232" w:hanging="232"/>
              <w:jc w:val="both"/>
              <w:rPr>
                <w:rFonts w:ascii="Arial" w:hAnsi="Arial" w:cs="Arial"/>
                <w:sz w:val="20"/>
              </w:rPr>
            </w:pPr>
            <w:r w:rsidRPr="00B8622C">
              <w:rPr>
                <w:rFonts w:ascii="Arial" w:hAnsi="Arial" w:cs="Arial"/>
                <w:sz w:val="20"/>
              </w:rPr>
              <w:t>Facebook or twitter @sicsuper.</w:t>
            </w:r>
          </w:p>
          <w:p w14:paraId="5CAE4A1E" w14:textId="77777777" w:rsidR="00111A95" w:rsidRPr="00B8622C" w:rsidRDefault="00111A95" w:rsidP="00111A95">
            <w:pPr>
              <w:pStyle w:val="Ttulo3"/>
              <w:tabs>
                <w:tab w:val="clear" w:pos="1800"/>
              </w:tabs>
              <w:spacing w:after="0"/>
              <w:ind w:left="232" w:hanging="232"/>
              <w:jc w:val="both"/>
              <w:rPr>
                <w:rFonts w:ascii="Arial" w:hAnsi="Arial" w:cs="Arial"/>
                <w:sz w:val="20"/>
              </w:rPr>
            </w:pPr>
            <w:r w:rsidRPr="00B8622C">
              <w:rPr>
                <w:rFonts w:ascii="Arial" w:hAnsi="Arial" w:cs="Arial"/>
                <w:sz w:val="20"/>
              </w:rPr>
              <w:t xml:space="preserve">By email: </w:t>
            </w:r>
            <w:hyperlink r:id="rId34" w:history="1">
              <w:r w:rsidRPr="00B8622C">
                <w:rPr>
                  <w:rStyle w:val="Hipervnculo"/>
                  <w:rFonts w:ascii="Arial" w:hAnsi="Arial" w:cs="Arial"/>
                  <w:sz w:val="20"/>
                </w:rPr>
                <w:t>superintendente@sic.gov.co</w:t>
              </w:r>
            </w:hyperlink>
            <w:r w:rsidRPr="00B8622C">
              <w:rPr>
                <w:rFonts w:ascii="Arial" w:hAnsi="Arial" w:cs="Arial"/>
                <w:sz w:val="20"/>
              </w:rPr>
              <w:t xml:space="preserve"> and </w:t>
            </w:r>
            <w:hyperlink r:id="rId35" w:history="1">
              <w:r w:rsidRPr="00B8622C">
                <w:rPr>
                  <w:rStyle w:val="Hipervnculo"/>
                  <w:rFonts w:ascii="Arial" w:hAnsi="Arial" w:cs="Arial"/>
                  <w:sz w:val="20"/>
                </w:rPr>
                <w:t>contactenos@sic.gov.co</w:t>
              </w:r>
            </w:hyperlink>
          </w:p>
          <w:p w14:paraId="255E3B44" w14:textId="77777777" w:rsidR="00111A95" w:rsidRPr="00C3537E" w:rsidRDefault="00111A95" w:rsidP="00E45DDF">
            <w:pPr>
              <w:spacing w:before="120"/>
              <w:jc w:val="both"/>
              <w:rPr>
                <w:rFonts w:ascii="Arial" w:hAnsi="Arial" w:cs="Arial"/>
                <w:sz w:val="20"/>
                <w:lang w:val="en-GB"/>
              </w:rPr>
            </w:pPr>
            <w:r w:rsidRPr="00B8622C">
              <w:rPr>
                <w:rFonts w:ascii="Arial" w:hAnsi="Arial" w:cs="Arial"/>
                <w:sz w:val="20"/>
              </w:rPr>
              <w:t>By phone: +57 1 592 0400</w:t>
            </w:r>
            <w:r w:rsidR="004C1048">
              <w:rPr>
                <w:rFonts w:ascii="Arial" w:hAnsi="Arial" w:cs="Arial"/>
                <w:sz w:val="20"/>
              </w:rPr>
              <w:t>, +571 5870000</w:t>
            </w:r>
            <w:r w:rsidRPr="00B8622C">
              <w:rPr>
                <w:rFonts w:ascii="Arial" w:hAnsi="Arial" w:cs="Arial"/>
                <w:sz w:val="20"/>
              </w:rPr>
              <w:t xml:space="preserve"> or 01 8000 910 165</w:t>
            </w:r>
          </w:p>
        </w:tc>
      </w:tr>
      <w:tr w:rsidR="00111A95" w:rsidRPr="00C3537E" w14:paraId="5F87757D" w14:textId="77777777" w:rsidTr="00111A95">
        <w:tblPrEx>
          <w:shd w:val="clear" w:color="auto" w:fill="auto"/>
        </w:tblPrEx>
        <w:tc>
          <w:tcPr>
            <w:tcW w:w="3372" w:type="dxa"/>
            <w:tcBorders>
              <w:left w:val="nil"/>
            </w:tcBorders>
            <w:shd w:val="clear" w:color="auto" w:fill="F3DFC3"/>
          </w:tcPr>
          <w:p w14:paraId="461E1981" w14:textId="77777777" w:rsidR="00111A95" w:rsidRPr="00C3537E" w:rsidRDefault="00111A95" w:rsidP="00111A95">
            <w:pPr>
              <w:numPr>
                <w:ilvl w:val="0"/>
                <w:numId w:val="14"/>
              </w:numPr>
              <w:spacing w:before="120" w:after="120"/>
              <w:rPr>
                <w:rFonts w:ascii="Arial" w:hAnsi="Arial" w:cs="Arial"/>
                <w:b/>
                <w:bCs/>
                <w:sz w:val="20"/>
                <w:lang w:val="en-GB"/>
              </w:rPr>
            </w:pPr>
            <w:r w:rsidRPr="00C3537E">
              <w:rPr>
                <w:rFonts w:ascii="Arial" w:hAnsi="Arial" w:cs="Arial"/>
                <w:b/>
                <w:bCs/>
                <w:sz w:val="20"/>
                <w:lang w:val="en-GB"/>
              </w:rPr>
              <w:t>Describe the role of the investigating agency in the process leading to the sanctioning of the cartel conduct.</w:t>
            </w:r>
          </w:p>
        </w:tc>
        <w:tc>
          <w:tcPr>
            <w:tcW w:w="5664" w:type="dxa"/>
            <w:tcBorders>
              <w:right w:val="nil"/>
            </w:tcBorders>
          </w:tcPr>
          <w:p w14:paraId="0BC53AB7"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The SIC may begin an administrative proceeding on its own initiative (</w:t>
            </w:r>
            <w:r w:rsidRPr="00322359">
              <w:rPr>
                <w:rFonts w:ascii="Arial" w:hAnsi="Arial" w:cs="Arial"/>
                <w:i/>
                <w:sz w:val="20"/>
                <w:szCs w:val="20"/>
                <w:lang w:val="en-GB"/>
              </w:rPr>
              <w:t>ex officio</w:t>
            </w:r>
            <w:r w:rsidRPr="00203F80">
              <w:rPr>
                <w:rFonts w:ascii="Arial" w:hAnsi="Arial" w:cs="Arial"/>
                <w:sz w:val="20"/>
                <w:szCs w:val="20"/>
                <w:lang w:val="en-GB"/>
              </w:rPr>
              <w:t>)</w:t>
            </w:r>
            <w:r w:rsidR="00834433">
              <w:rPr>
                <w:rFonts w:ascii="Arial" w:hAnsi="Arial" w:cs="Arial"/>
                <w:sz w:val="20"/>
                <w:szCs w:val="20"/>
                <w:lang w:val="en-GB"/>
              </w:rPr>
              <w:t>, by a leninecy application</w:t>
            </w:r>
            <w:r w:rsidRPr="00203F80">
              <w:rPr>
                <w:rFonts w:ascii="Arial" w:hAnsi="Arial" w:cs="Arial"/>
                <w:sz w:val="20"/>
                <w:szCs w:val="20"/>
                <w:lang w:val="en-GB"/>
              </w:rPr>
              <w:t xml:space="preserve"> or as the result of a complaint submitted to the </w:t>
            </w:r>
            <w:r w:rsidR="00834433" w:rsidRPr="00203F80">
              <w:rPr>
                <w:rFonts w:ascii="Arial" w:hAnsi="Arial" w:cs="Arial"/>
                <w:sz w:val="20"/>
                <w:szCs w:val="20"/>
                <w:lang w:val="en-GB"/>
              </w:rPr>
              <w:t>Deputy Superintendence for Competition Protection</w:t>
            </w:r>
            <w:r w:rsidRPr="00203F80">
              <w:rPr>
                <w:rFonts w:ascii="Arial" w:hAnsi="Arial" w:cs="Arial"/>
                <w:sz w:val="20"/>
                <w:szCs w:val="20"/>
                <w:lang w:val="en-GB"/>
              </w:rPr>
              <w:t xml:space="preserve">. The </w:t>
            </w:r>
            <w:r w:rsidR="00834433">
              <w:rPr>
                <w:rFonts w:ascii="Arial" w:hAnsi="Arial" w:cs="Arial"/>
                <w:sz w:val="20"/>
                <w:szCs w:val="20"/>
                <w:lang w:val="en-GB"/>
              </w:rPr>
              <w:t>Deputy</w:t>
            </w:r>
            <w:r w:rsidRPr="00203F80">
              <w:rPr>
                <w:rFonts w:ascii="Arial" w:hAnsi="Arial" w:cs="Arial"/>
                <w:sz w:val="20"/>
                <w:szCs w:val="20"/>
                <w:lang w:val="en-GB"/>
              </w:rPr>
              <w:t xml:space="preserve"> initiates investigations </w:t>
            </w:r>
            <w:r w:rsidRPr="00E6406D">
              <w:rPr>
                <w:rFonts w:ascii="Arial" w:hAnsi="Arial" w:cs="Arial"/>
                <w:i/>
                <w:sz w:val="20"/>
                <w:szCs w:val="20"/>
                <w:lang w:val="en-GB"/>
              </w:rPr>
              <w:t>ex officio</w:t>
            </w:r>
            <w:r w:rsidRPr="00203F80">
              <w:rPr>
                <w:rFonts w:ascii="Arial" w:hAnsi="Arial" w:cs="Arial"/>
                <w:sz w:val="20"/>
                <w:szCs w:val="20"/>
                <w:lang w:val="en-GB"/>
              </w:rPr>
              <w:t xml:space="preserve"> based on information derived from a variety of sources, including news and alerts received from other government agencies. If the SIC receives a complaint from a privateparty</w:t>
            </w:r>
            <w:r w:rsidR="00834433">
              <w:rPr>
                <w:rFonts w:ascii="Arial" w:hAnsi="Arial" w:cs="Arial"/>
                <w:sz w:val="20"/>
                <w:szCs w:val="20"/>
                <w:lang w:val="en-GB"/>
              </w:rPr>
              <w:t xml:space="preserve"> or a public authority</w:t>
            </w:r>
            <w:r w:rsidRPr="00203F80">
              <w:rPr>
                <w:rFonts w:ascii="Arial" w:hAnsi="Arial" w:cs="Arial"/>
                <w:sz w:val="20"/>
                <w:szCs w:val="20"/>
                <w:lang w:val="en-GB"/>
              </w:rPr>
              <w:t xml:space="preserve">, the Deputy Superintendent for Competition Protection reviews it and determines whether to open a preliminary inquiry or to dismiss the complaint. In making this decision, the Deputy is guided by </w:t>
            </w:r>
            <w:r w:rsidR="00834433">
              <w:rPr>
                <w:rFonts w:ascii="Arial" w:hAnsi="Arial" w:cs="Arial"/>
                <w:sz w:val="20"/>
                <w:szCs w:val="20"/>
                <w:lang w:val="en-GB"/>
              </w:rPr>
              <w:t xml:space="preserve">point 3 of </w:t>
            </w:r>
            <w:r w:rsidRPr="00203F80">
              <w:rPr>
                <w:rFonts w:ascii="Arial" w:hAnsi="Arial" w:cs="Arial"/>
                <w:sz w:val="20"/>
                <w:szCs w:val="20"/>
                <w:lang w:val="en-GB"/>
              </w:rPr>
              <w:t xml:space="preserve">Article 1 of Decree 4886 of 2011, which instructs the SIC to pursue only those claims that are “significant” for the purposes of maintaining competitive markets or promoting efficiency and consumer welfare. </w:t>
            </w:r>
          </w:p>
          <w:p w14:paraId="286A3195" w14:textId="77777777" w:rsidR="00111A95" w:rsidRPr="00203F80" w:rsidRDefault="00111A95" w:rsidP="00111A95">
            <w:pPr>
              <w:jc w:val="both"/>
              <w:rPr>
                <w:rFonts w:ascii="Arial" w:hAnsi="Arial" w:cs="Arial"/>
                <w:sz w:val="20"/>
                <w:szCs w:val="20"/>
                <w:lang w:val="en-GB"/>
              </w:rPr>
            </w:pPr>
          </w:p>
          <w:p w14:paraId="0CFCF653"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 xml:space="preserve">A preliminary inquiry, whether commenced </w:t>
            </w:r>
            <w:r w:rsidRPr="00322359">
              <w:rPr>
                <w:rFonts w:ascii="Arial" w:hAnsi="Arial" w:cs="Arial"/>
                <w:i/>
                <w:sz w:val="20"/>
                <w:szCs w:val="20"/>
                <w:lang w:val="en-GB"/>
              </w:rPr>
              <w:t>ex officio</w:t>
            </w:r>
            <w:r w:rsidRPr="00203F80">
              <w:rPr>
                <w:rFonts w:ascii="Arial" w:hAnsi="Arial" w:cs="Arial"/>
                <w:sz w:val="20"/>
                <w:szCs w:val="20"/>
                <w:lang w:val="en-GB"/>
              </w:rPr>
              <w:t xml:space="preserve"> or in response to a </w:t>
            </w:r>
            <w:r w:rsidR="00834433" w:rsidRPr="00203F80">
              <w:rPr>
                <w:rFonts w:ascii="Arial" w:hAnsi="Arial" w:cs="Arial"/>
                <w:sz w:val="20"/>
                <w:szCs w:val="20"/>
                <w:lang w:val="en-GB"/>
              </w:rPr>
              <w:t>privateparty</w:t>
            </w:r>
            <w:r w:rsidR="00834433">
              <w:rPr>
                <w:rFonts w:ascii="Arial" w:hAnsi="Arial" w:cs="Arial"/>
                <w:sz w:val="20"/>
                <w:szCs w:val="20"/>
                <w:lang w:val="en-GB"/>
              </w:rPr>
              <w:t xml:space="preserve"> or a public authority</w:t>
            </w:r>
            <w:r w:rsidRPr="00203F80">
              <w:rPr>
                <w:rFonts w:ascii="Arial" w:hAnsi="Arial" w:cs="Arial"/>
                <w:sz w:val="20"/>
                <w:szCs w:val="20"/>
                <w:lang w:val="en-GB"/>
              </w:rPr>
              <w:t>complaint, is conducted by the Deputy Superintendence for Competition Protection. There is no public announcement or notice to the suspected parties (this stage of the proceeding is confidential). During this phase, the D</w:t>
            </w:r>
            <w:r w:rsidR="00834433">
              <w:rPr>
                <w:rFonts w:ascii="Arial" w:hAnsi="Arial" w:cs="Arial"/>
                <w:sz w:val="20"/>
                <w:szCs w:val="20"/>
                <w:lang w:val="en-GB"/>
              </w:rPr>
              <w:t>eputy</w:t>
            </w:r>
            <w:r w:rsidRPr="00203F80">
              <w:rPr>
                <w:rFonts w:ascii="Arial" w:hAnsi="Arial" w:cs="Arial"/>
                <w:sz w:val="20"/>
                <w:szCs w:val="20"/>
                <w:lang w:val="en-GB"/>
              </w:rPr>
              <w:t xml:space="preserve"> is authorized by law to collect all the evidence that is related to the facts that are subject to inquiry, in order to verify the facts, determine which persons were involved in the alleged competition infringement and define if the conduct would effectively constitute a restrictive practice of competition. </w:t>
            </w:r>
          </w:p>
          <w:p w14:paraId="5F8295C8" w14:textId="77777777" w:rsidR="00111A95" w:rsidRPr="00203F80" w:rsidRDefault="00111A95" w:rsidP="00111A95">
            <w:pPr>
              <w:jc w:val="both"/>
              <w:rPr>
                <w:rFonts w:ascii="Arial" w:hAnsi="Arial" w:cs="Arial"/>
                <w:sz w:val="20"/>
                <w:szCs w:val="20"/>
                <w:lang w:val="en-GB"/>
              </w:rPr>
            </w:pPr>
          </w:p>
          <w:p w14:paraId="2FB90C5F"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lastRenderedPageBreak/>
              <w:t>The preliminary inquiry stage ends with the issuance of one of two types of administrative acts: (i) closing resolution, if the evidence in the record does not allow the D</w:t>
            </w:r>
            <w:r w:rsidR="00834433">
              <w:rPr>
                <w:rFonts w:ascii="Arial" w:hAnsi="Arial" w:cs="Arial"/>
                <w:sz w:val="20"/>
                <w:szCs w:val="20"/>
                <w:lang w:val="en-GB"/>
              </w:rPr>
              <w:t>eputy</w:t>
            </w:r>
            <w:r w:rsidRPr="00203F80">
              <w:rPr>
                <w:rFonts w:ascii="Arial" w:hAnsi="Arial" w:cs="Arial"/>
                <w:sz w:val="20"/>
                <w:szCs w:val="20"/>
                <w:lang w:val="en-GB"/>
              </w:rPr>
              <w:t xml:space="preserve"> to determine the possible occurrence of an anticompetitive behaviour; or (ii) </w:t>
            </w:r>
            <w:r w:rsidR="00834433">
              <w:rPr>
                <w:rFonts w:ascii="Arial" w:hAnsi="Arial" w:cs="Arial"/>
                <w:sz w:val="20"/>
                <w:szCs w:val="20"/>
                <w:lang w:val="en-GB"/>
              </w:rPr>
              <w:t xml:space="preserve">resolution of </w:t>
            </w:r>
            <w:r w:rsidR="00834433" w:rsidRPr="00834433">
              <w:rPr>
                <w:rFonts w:ascii="Arial" w:hAnsi="Arial" w:cs="Arial"/>
                <w:sz w:val="20"/>
                <w:szCs w:val="20"/>
                <w:lang w:val="en-GB"/>
              </w:rPr>
              <w:t>openness</w:t>
            </w:r>
            <w:r w:rsidR="00834433">
              <w:rPr>
                <w:rFonts w:ascii="Arial" w:hAnsi="Arial" w:cs="Arial"/>
                <w:sz w:val="20"/>
                <w:szCs w:val="20"/>
                <w:lang w:val="en-GB"/>
              </w:rPr>
              <w:t>,</w:t>
            </w:r>
            <w:r w:rsidRPr="00203F80">
              <w:rPr>
                <w:rFonts w:ascii="Arial" w:hAnsi="Arial" w:cs="Arial"/>
                <w:sz w:val="20"/>
                <w:szCs w:val="20"/>
                <w:lang w:val="en-GB"/>
              </w:rPr>
              <w:t xml:space="preserve"> if the evidence in the record allows the </w:t>
            </w:r>
            <w:r w:rsidR="00834433">
              <w:rPr>
                <w:rFonts w:ascii="Arial" w:hAnsi="Arial" w:cs="Arial"/>
                <w:sz w:val="20"/>
                <w:szCs w:val="20"/>
                <w:lang w:val="en-GB"/>
              </w:rPr>
              <w:t>Deputy</w:t>
            </w:r>
            <w:r w:rsidRPr="00203F80">
              <w:rPr>
                <w:rFonts w:ascii="Arial" w:hAnsi="Arial" w:cs="Arial"/>
                <w:sz w:val="20"/>
                <w:szCs w:val="20"/>
                <w:lang w:val="en-GB"/>
              </w:rPr>
              <w:t xml:space="preserve"> to infer that the restrictive behaviour (by object </w:t>
            </w:r>
            <w:r w:rsidRPr="007E3856">
              <w:rPr>
                <w:rFonts w:ascii="Arial" w:hAnsi="Arial" w:cs="Arial"/>
                <w:sz w:val="20"/>
                <w:szCs w:val="20"/>
                <w:lang w:val="en-GB"/>
              </w:rPr>
              <w:t>or</w:t>
            </w:r>
            <w:r w:rsidRPr="00203F80">
              <w:rPr>
                <w:rFonts w:ascii="Arial" w:hAnsi="Arial" w:cs="Arial"/>
                <w:sz w:val="20"/>
                <w:szCs w:val="20"/>
                <w:lang w:val="en-GB"/>
              </w:rPr>
              <w:t xml:space="preserve"> effect) was performed by the suspected parties. If a formal investigation is opened, suspected parties get linked to the administrative proceeding as investigated parties. </w:t>
            </w:r>
          </w:p>
          <w:p w14:paraId="691C75DF" w14:textId="77777777" w:rsidR="00111A95" w:rsidRPr="00203F80" w:rsidRDefault="00111A95" w:rsidP="00111A95">
            <w:pPr>
              <w:jc w:val="both"/>
              <w:rPr>
                <w:rFonts w:ascii="Arial" w:hAnsi="Arial" w:cs="Arial"/>
                <w:sz w:val="20"/>
                <w:szCs w:val="20"/>
                <w:lang w:val="en-GB"/>
              </w:rPr>
            </w:pPr>
          </w:p>
          <w:p w14:paraId="03E2D24B"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 xml:space="preserve">In this stage, the Deputy Superintendent opens the probationary period, which term will be given by the volume of evidence that is collected and the amount of proofs that must be controverted and/or practiced. </w:t>
            </w:r>
            <w:r>
              <w:rPr>
                <w:rFonts w:ascii="Arial" w:hAnsi="Arial" w:cs="Arial"/>
                <w:sz w:val="20"/>
                <w:szCs w:val="20"/>
                <w:lang w:val="en-GB"/>
              </w:rPr>
              <w:t xml:space="preserve">In this stage, the investigated exercises his right of defence and gives and asks for evidence. </w:t>
            </w:r>
            <w:r w:rsidRPr="00203F80">
              <w:rPr>
                <w:rFonts w:ascii="Arial" w:hAnsi="Arial" w:cs="Arial"/>
                <w:sz w:val="20"/>
                <w:szCs w:val="20"/>
                <w:lang w:val="en-GB"/>
              </w:rPr>
              <w:t xml:space="preserve"> It is worth noting that in this kind of procedures not only the facts under investigation must be evaluated, but also the market involved and its dynamics and particular characteristics. After the probationary period ends, the Deputy Superintendent summons the parties to a final hearing where investigated and recognized third parties verbally present their arguments about the investigation.</w:t>
            </w:r>
          </w:p>
          <w:p w14:paraId="2FAA3866" w14:textId="77777777" w:rsidR="00111A95" w:rsidRPr="00203F80" w:rsidRDefault="00111A95" w:rsidP="00111A95">
            <w:pPr>
              <w:jc w:val="both"/>
              <w:rPr>
                <w:rFonts w:ascii="Arial" w:hAnsi="Arial" w:cs="Arial"/>
                <w:sz w:val="20"/>
                <w:szCs w:val="20"/>
                <w:lang w:val="en-GB"/>
              </w:rPr>
            </w:pPr>
          </w:p>
          <w:p w14:paraId="304280E4"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Finally, the Deputy Superintendent sends a non-binding motivated report to the Superintendent of Industry and Commerce, which presents the results of the investigation and suggests to impose a sanction to the investigated parties or to close the case. Defendants and recognised third parties can submit comments about the reasoned report during 20 working days after its communication.</w:t>
            </w:r>
          </w:p>
          <w:p w14:paraId="02576A85" w14:textId="77777777" w:rsidR="00111A95" w:rsidRPr="00203F80" w:rsidRDefault="00111A95" w:rsidP="00111A95">
            <w:pPr>
              <w:jc w:val="both"/>
              <w:rPr>
                <w:rFonts w:ascii="Arial" w:hAnsi="Arial" w:cs="Arial"/>
                <w:sz w:val="20"/>
                <w:szCs w:val="20"/>
                <w:lang w:val="en-GB"/>
              </w:rPr>
            </w:pPr>
          </w:p>
          <w:p w14:paraId="6E9E32ED" w14:textId="4E3356D8"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The Superintendent, assisted by</w:t>
            </w:r>
            <w:r w:rsidR="00943190">
              <w:rPr>
                <w:rFonts w:ascii="Arial" w:hAnsi="Arial" w:cs="Arial"/>
                <w:sz w:val="20"/>
                <w:szCs w:val="20"/>
                <w:lang w:val="en-GB"/>
              </w:rPr>
              <w:t xml:space="preserve"> his</w:t>
            </w:r>
            <w:r w:rsidRPr="00203F80">
              <w:rPr>
                <w:rFonts w:ascii="Arial" w:hAnsi="Arial" w:cs="Arial"/>
                <w:sz w:val="20"/>
                <w:szCs w:val="20"/>
                <w:lang w:val="en-GB"/>
              </w:rPr>
              <w:t xml:space="preserve"> team comprised of lawyers and economists who have not participated in the investigation, analyses of the Deputy’s report, the record, and the submissions of the defendants and third parties</w:t>
            </w:r>
            <w:r w:rsidR="00C95C2B">
              <w:rPr>
                <w:rFonts w:ascii="Arial" w:hAnsi="Arial" w:cs="Arial"/>
                <w:sz w:val="20"/>
                <w:szCs w:val="20"/>
                <w:lang w:val="en-GB"/>
              </w:rPr>
              <w:t>.</w:t>
            </w:r>
          </w:p>
          <w:p w14:paraId="46149A4C" w14:textId="77777777" w:rsidR="00111A95" w:rsidRPr="00203F80" w:rsidRDefault="00111A95" w:rsidP="00111A95">
            <w:pPr>
              <w:jc w:val="both"/>
              <w:rPr>
                <w:rFonts w:ascii="Arial" w:hAnsi="Arial" w:cs="Arial"/>
                <w:sz w:val="20"/>
                <w:szCs w:val="20"/>
                <w:lang w:val="en-GB"/>
              </w:rPr>
            </w:pPr>
          </w:p>
          <w:p w14:paraId="1F702B41" w14:textId="77777777" w:rsidR="00111A95" w:rsidRPr="00203F80" w:rsidRDefault="00111A95" w:rsidP="00111A95">
            <w:pPr>
              <w:jc w:val="both"/>
              <w:rPr>
                <w:rFonts w:ascii="Arial" w:hAnsi="Arial" w:cs="Arial"/>
                <w:sz w:val="20"/>
                <w:szCs w:val="20"/>
                <w:lang w:val="en-GB"/>
              </w:rPr>
            </w:pPr>
            <w:r w:rsidRPr="00203F80">
              <w:rPr>
                <w:rFonts w:ascii="Arial" w:hAnsi="Arial" w:cs="Arial"/>
                <w:sz w:val="20"/>
                <w:szCs w:val="20"/>
                <w:lang w:val="en-GB"/>
              </w:rPr>
              <w:t xml:space="preserve">If the Superintendent finds an offense, </w:t>
            </w:r>
            <w:r w:rsidR="00C95C2B">
              <w:rPr>
                <w:rFonts w:ascii="Arial" w:hAnsi="Arial" w:cs="Arial"/>
                <w:sz w:val="20"/>
                <w:szCs w:val="20"/>
                <w:lang w:val="en-GB"/>
              </w:rPr>
              <w:t>based on the evidence, the motivated report and the comments precedent by the defendants and the third parties</w:t>
            </w:r>
            <w:r w:rsidRPr="00203F80">
              <w:rPr>
                <w:rFonts w:ascii="Arial" w:hAnsi="Arial" w:cs="Arial"/>
                <w:sz w:val="20"/>
                <w:szCs w:val="20"/>
                <w:lang w:val="en-GB"/>
              </w:rPr>
              <w:t xml:space="preserve">, the Superintendent’s ruling will include an opinion detailing the facts and analysis supporting the conclusion. The ruling may impose a fine and order the unlawful conduct to be terminated. It should be noted that the Superintendent must hear the Advisory Council’s non-binding opinion before imposing asanction. If the Superintendent agrees with the Deputy that no violation occurred, the Superintendent issues a Resolution explaining why there has been no violation. If the Superintendent closes the case despite a Deputy recommendation for sanctions, the Resolution closing the case fully explains the case, the facts, the law, the alleged theory of harm, the arguments included in the reasoned report, and describes why there has been no violation. </w:t>
            </w:r>
          </w:p>
          <w:p w14:paraId="2D3827B1" w14:textId="77777777" w:rsidR="00111A95" w:rsidRPr="00203F80" w:rsidRDefault="00111A95" w:rsidP="00111A95">
            <w:pPr>
              <w:jc w:val="both"/>
              <w:rPr>
                <w:rFonts w:ascii="Arial" w:hAnsi="Arial" w:cs="Arial"/>
                <w:sz w:val="20"/>
                <w:szCs w:val="20"/>
                <w:lang w:val="en-GB"/>
              </w:rPr>
            </w:pPr>
          </w:p>
          <w:p w14:paraId="5E578B4A" w14:textId="77777777" w:rsidR="00111A95" w:rsidRPr="00C3537E" w:rsidRDefault="00111A95" w:rsidP="004C1048">
            <w:pPr>
              <w:spacing w:before="120"/>
              <w:jc w:val="both"/>
              <w:rPr>
                <w:rFonts w:ascii="Arial" w:hAnsi="Arial" w:cs="Arial"/>
                <w:sz w:val="20"/>
                <w:lang w:val="en-GB"/>
              </w:rPr>
            </w:pPr>
            <w:r w:rsidRPr="00203F80">
              <w:rPr>
                <w:rFonts w:ascii="Arial" w:hAnsi="Arial" w:cs="Arial"/>
                <w:sz w:val="20"/>
                <w:szCs w:val="20"/>
                <w:lang w:val="en-GB"/>
              </w:rPr>
              <w:t xml:space="preserve">Once the Superintendent has rendered a decision, the parties (including third parties) have 10 </w:t>
            </w:r>
            <w:r>
              <w:rPr>
                <w:rFonts w:ascii="Arial" w:hAnsi="Arial" w:cs="Arial"/>
                <w:sz w:val="20"/>
                <w:szCs w:val="20"/>
                <w:lang w:val="en-GB"/>
              </w:rPr>
              <w:t>working</w:t>
            </w:r>
            <w:r w:rsidRPr="00203F80">
              <w:rPr>
                <w:rFonts w:ascii="Arial" w:hAnsi="Arial" w:cs="Arial"/>
                <w:sz w:val="20"/>
                <w:szCs w:val="20"/>
                <w:lang w:val="en-GB"/>
              </w:rPr>
              <w:t xml:space="preserve"> days to request that the Superintendent reconsider the decision.</w:t>
            </w:r>
          </w:p>
        </w:tc>
      </w:tr>
      <w:tr w:rsidR="00111A95" w:rsidRPr="00C3537E" w14:paraId="45DABB38" w14:textId="77777777" w:rsidTr="00111A95">
        <w:tblPrEx>
          <w:shd w:val="clear" w:color="auto" w:fill="auto"/>
        </w:tblPrEx>
        <w:tc>
          <w:tcPr>
            <w:tcW w:w="3372" w:type="dxa"/>
            <w:tcBorders>
              <w:left w:val="nil"/>
            </w:tcBorders>
            <w:shd w:val="clear" w:color="auto" w:fill="F3DFC3"/>
          </w:tcPr>
          <w:p w14:paraId="6AB333EB" w14:textId="77777777" w:rsidR="00111A95" w:rsidRPr="00C3537E" w:rsidRDefault="00111A95" w:rsidP="00111A95">
            <w:pPr>
              <w:numPr>
                <w:ilvl w:val="0"/>
                <w:numId w:val="14"/>
              </w:numPr>
              <w:spacing w:before="120" w:after="120"/>
              <w:rPr>
                <w:rFonts w:ascii="Arial" w:hAnsi="Arial" w:cs="Arial"/>
                <w:b/>
                <w:sz w:val="20"/>
                <w:lang w:val="en-GB"/>
              </w:rPr>
            </w:pPr>
            <w:r w:rsidRPr="00C3537E">
              <w:rPr>
                <w:rFonts w:ascii="Arial" w:hAnsi="Arial" w:cs="Arial"/>
                <w:b/>
                <w:sz w:val="20"/>
                <w:lang w:val="en-GB"/>
              </w:rPr>
              <w:lastRenderedPageBreak/>
              <w:t>What is the role of the investigating agency if cartel cases belong under criminal proceedings?</w:t>
            </w:r>
          </w:p>
        </w:tc>
        <w:tc>
          <w:tcPr>
            <w:tcW w:w="5664" w:type="dxa"/>
            <w:tcBorders>
              <w:right w:val="nil"/>
            </w:tcBorders>
          </w:tcPr>
          <w:p w14:paraId="77DBB3B5" w14:textId="77777777" w:rsidR="00111A95" w:rsidRPr="00203F80" w:rsidRDefault="00111A95" w:rsidP="00111A95">
            <w:pPr>
              <w:spacing w:before="120"/>
              <w:jc w:val="both"/>
              <w:rPr>
                <w:rFonts w:ascii="Arial" w:hAnsi="Arial" w:cs="Arial"/>
                <w:sz w:val="20"/>
                <w:szCs w:val="20"/>
                <w:lang w:val="en-GB"/>
              </w:rPr>
            </w:pPr>
            <w:r w:rsidRPr="00203F80">
              <w:rPr>
                <w:rFonts w:ascii="Arial" w:hAnsi="Arial" w:cs="Arial"/>
                <w:sz w:val="20"/>
                <w:szCs w:val="20"/>
                <w:lang w:val="en-GB"/>
              </w:rPr>
              <w:t xml:space="preserve">In Colombia, </w:t>
            </w:r>
            <w:r w:rsidR="003C4948" w:rsidRPr="008206F6">
              <w:rPr>
                <w:rFonts w:ascii="Arial" w:hAnsi="Arial" w:cs="Arial"/>
                <w:sz w:val="20"/>
                <w:szCs w:val="20"/>
                <w:lang w:val="en-GB"/>
              </w:rPr>
              <w:t>concerted practices in public procurement</w:t>
            </w:r>
            <w:r w:rsidR="00E57895">
              <w:rPr>
                <w:rFonts w:ascii="Arial" w:hAnsi="Arial" w:cs="Arial"/>
                <w:sz w:val="20"/>
                <w:szCs w:val="20"/>
                <w:lang w:val="en-GB"/>
              </w:rPr>
              <w:t xml:space="preserve"> </w:t>
            </w:r>
            <w:r w:rsidR="00EA1F8C">
              <w:rPr>
                <w:rFonts w:ascii="Arial" w:hAnsi="Arial" w:cs="Arial"/>
                <w:sz w:val="20"/>
                <w:szCs w:val="20"/>
                <w:lang w:val="en-GB"/>
              </w:rPr>
              <w:t xml:space="preserve"> </w:t>
            </w:r>
            <w:r w:rsidR="008206F6">
              <w:rPr>
                <w:rFonts w:ascii="Arial" w:hAnsi="Arial" w:cs="Arial"/>
                <w:sz w:val="20"/>
                <w:szCs w:val="20"/>
                <w:lang w:val="en-GB"/>
              </w:rPr>
              <w:t>are</w:t>
            </w:r>
            <w:r w:rsidRPr="00203F80">
              <w:rPr>
                <w:rFonts w:ascii="Arial" w:hAnsi="Arial" w:cs="Arial"/>
                <w:sz w:val="20"/>
                <w:szCs w:val="20"/>
                <w:lang w:val="en-GB"/>
              </w:rPr>
              <w:t xml:space="preserve"> the only antitrust behaviour</w:t>
            </w:r>
            <w:r w:rsidR="008206F6">
              <w:rPr>
                <w:rFonts w:ascii="Arial" w:hAnsi="Arial" w:cs="Arial"/>
                <w:sz w:val="20"/>
                <w:szCs w:val="20"/>
                <w:lang w:val="en-GB"/>
              </w:rPr>
              <w:t>s</w:t>
            </w:r>
            <w:r w:rsidRPr="00203F80">
              <w:rPr>
                <w:rFonts w:ascii="Arial" w:hAnsi="Arial" w:cs="Arial"/>
                <w:sz w:val="20"/>
                <w:szCs w:val="20"/>
                <w:lang w:val="en-GB"/>
              </w:rPr>
              <w:t xml:space="preserve"> that has criminal consequences. It is a criminal offense punishable by imprisonment (up to 12 years), fines, and disqualification (up to 8 years) from future </w:t>
            </w:r>
            <w:r w:rsidRPr="00203F80">
              <w:rPr>
                <w:rFonts w:ascii="Arial" w:hAnsi="Arial" w:cs="Arial"/>
                <w:sz w:val="20"/>
                <w:szCs w:val="20"/>
                <w:lang w:val="en-GB"/>
              </w:rPr>
              <w:lastRenderedPageBreak/>
              <w:t xml:space="preserve">procurement proceedings. However, the enforcement of this conduct is in charge of the General Attorney’s Office, and the final decision has to be taken by Criminal Judges. </w:t>
            </w:r>
          </w:p>
          <w:p w14:paraId="428A11D4" w14:textId="77777777" w:rsidR="00111A95" w:rsidRPr="004C1048" w:rsidRDefault="00111A95" w:rsidP="00111A95">
            <w:pPr>
              <w:spacing w:before="120"/>
              <w:jc w:val="both"/>
              <w:rPr>
                <w:rFonts w:ascii="Arial" w:hAnsi="Arial" w:cs="Arial"/>
                <w:sz w:val="20"/>
                <w:szCs w:val="20"/>
                <w:lang w:val="en-GB"/>
              </w:rPr>
            </w:pPr>
            <w:r w:rsidRPr="0007415F">
              <w:rPr>
                <w:rFonts w:ascii="Arial" w:hAnsi="Arial" w:cs="Arial"/>
                <w:sz w:val="20"/>
                <w:szCs w:val="20"/>
                <w:lang w:val="en-GB"/>
              </w:rPr>
              <w:t>When the Deputy Superintendence for Competition Protection evidence that the facts under investigation may constitute the criminal conduct described in Article 410A, in the Statement of Objections</w:t>
            </w:r>
            <w:r w:rsidR="00F73A66">
              <w:rPr>
                <w:rFonts w:ascii="Arial" w:hAnsi="Arial" w:cs="Arial"/>
                <w:sz w:val="20"/>
                <w:szCs w:val="20"/>
                <w:lang w:val="en-GB"/>
              </w:rPr>
              <w:t>the Deputy</w:t>
            </w:r>
            <w:r w:rsidRPr="0007415F">
              <w:rPr>
                <w:rFonts w:ascii="Arial" w:hAnsi="Arial" w:cs="Arial"/>
                <w:sz w:val="20"/>
                <w:szCs w:val="20"/>
                <w:lang w:val="en-GB"/>
              </w:rPr>
              <w:t xml:space="preserve"> will notify the Attorney General's Office, in order to</w:t>
            </w:r>
            <w:r>
              <w:rPr>
                <w:rFonts w:ascii="Arial" w:hAnsi="Arial" w:cs="Arial"/>
                <w:sz w:val="20"/>
                <w:szCs w:val="20"/>
                <w:lang w:val="en-GB"/>
              </w:rPr>
              <w:t xml:space="preserve"> proceed with a prosecution</w:t>
            </w:r>
            <w:r w:rsidRPr="0007415F">
              <w:rPr>
                <w:rFonts w:ascii="Arial" w:hAnsi="Arial" w:cs="Arial"/>
                <w:sz w:val="20"/>
                <w:szCs w:val="20"/>
                <w:lang w:val="en-GB"/>
              </w:rPr>
              <w:t>. The Deputy Superintendent can transfer evidence to such Office if this is required.</w:t>
            </w:r>
          </w:p>
        </w:tc>
      </w:tr>
    </w:tbl>
    <w:p w14:paraId="734D3EF0" w14:textId="77777777" w:rsidR="007B7C69" w:rsidRPr="00C3537E" w:rsidRDefault="007B7C69">
      <w:pPr>
        <w:pStyle w:val="Textoindependiente"/>
        <w:ind w:left="0"/>
        <w:rPr>
          <w:rFonts w:ascii="Arial" w:hAnsi="Arial" w:cs="Arial"/>
          <w:bCs/>
          <w:lang w:val="en-GB"/>
        </w:rPr>
      </w:pPr>
    </w:p>
    <w:p w14:paraId="75747718" w14:textId="77777777" w:rsidR="007B7C69" w:rsidRPr="00C3537E" w:rsidRDefault="007B7C69">
      <w:pPr>
        <w:pStyle w:val="Textoindependiente"/>
        <w:ind w:left="0"/>
        <w:rPr>
          <w:rFonts w:ascii="Arial" w:hAnsi="Arial"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4"/>
        <w:gridCol w:w="5550"/>
      </w:tblGrid>
      <w:tr w:rsidR="007B7C69" w:rsidRPr="00C3537E" w14:paraId="6161F585" w14:textId="77777777" w:rsidTr="00111A95">
        <w:tc>
          <w:tcPr>
            <w:tcW w:w="9064" w:type="dxa"/>
            <w:gridSpan w:val="2"/>
            <w:tcBorders>
              <w:top w:val="nil"/>
              <w:left w:val="nil"/>
              <w:bottom w:val="nil"/>
              <w:right w:val="nil"/>
            </w:tcBorders>
            <w:shd w:val="clear" w:color="auto" w:fill="61243B"/>
          </w:tcPr>
          <w:p w14:paraId="1009C1F1" w14:textId="77777777" w:rsidR="007B7C69" w:rsidRPr="00C3537E" w:rsidRDefault="007B7C69">
            <w:pPr>
              <w:pStyle w:val="Ttulo1"/>
              <w:spacing w:before="240"/>
              <w:ind w:left="360" w:hanging="360"/>
              <w:rPr>
                <w:rFonts w:ascii="Arial" w:hAnsi="Arial" w:cs="Arial"/>
                <w:color w:val="FFFFFF"/>
                <w:sz w:val="28"/>
                <w:lang w:val="en-GB"/>
              </w:rPr>
            </w:pPr>
            <w:r w:rsidRPr="00C3537E">
              <w:rPr>
                <w:rFonts w:ascii="Arial" w:hAnsi="Arial" w:cs="Arial"/>
                <w:color w:val="FFFFFF"/>
                <w:sz w:val="28"/>
                <w:lang w:val="en-GB"/>
              </w:rPr>
              <w:t>Handling complaints and initiation of proceedings</w:t>
            </w:r>
          </w:p>
        </w:tc>
      </w:tr>
      <w:tr w:rsidR="00111A95" w:rsidRPr="00C3537E" w14:paraId="30AC95A3" w14:textId="77777777" w:rsidTr="00111A95">
        <w:tc>
          <w:tcPr>
            <w:tcW w:w="3514" w:type="dxa"/>
            <w:tcBorders>
              <w:left w:val="nil"/>
            </w:tcBorders>
            <w:shd w:val="clear" w:color="auto" w:fill="F3DFC3"/>
          </w:tcPr>
          <w:p w14:paraId="0614C749" w14:textId="77777777" w:rsidR="00111A95" w:rsidRPr="00C3537E" w:rsidRDefault="00111A95" w:rsidP="00111A95">
            <w:pPr>
              <w:numPr>
                <w:ilvl w:val="0"/>
                <w:numId w:val="16"/>
              </w:numPr>
              <w:spacing w:before="120" w:after="120"/>
              <w:rPr>
                <w:rFonts w:ascii="Arial" w:hAnsi="Arial" w:cs="Arial"/>
                <w:b/>
                <w:bCs/>
                <w:sz w:val="20"/>
                <w:lang w:val="en-GB"/>
              </w:rPr>
            </w:pPr>
            <w:r w:rsidRPr="00C3537E">
              <w:rPr>
                <w:rFonts w:ascii="Arial" w:hAnsi="Arial" w:cs="Arial"/>
                <w:b/>
                <w:bCs/>
                <w:sz w:val="20"/>
                <w:lang w:val="en-GB"/>
              </w:rPr>
              <w:t>Basis for initiating investigations in cartel cases: [complaint, ex officio, leniency application, notification, etc.]</w:t>
            </w:r>
          </w:p>
        </w:tc>
        <w:tc>
          <w:tcPr>
            <w:tcW w:w="5550" w:type="dxa"/>
            <w:tcBorders>
              <w:right w:val="nil"/>
            </w:tcBorders>
          </w:tcPr>
          <w:p w14:paraId="662DF86F" w14:textId="77777777" w:rsidR="00111A95" w:rsidRDefault="00111A95" w:rsidP="00511063">
            <w:pPr>
              <w:jc w:val="both"/>
              <w:rPr>
                <w:rFonts w:ascii="Arial" w:hAnsi="Arial" w:cs="Arial"/>
                <w:sz w:val="20"/>
                <w:szCs w:val="20"/>
                <w:lang w:val="en-GB"/>
              </w:rPr>
            </w:pPr>
            <w:r>
              <w:rPr>
                <w:rFonts w:ascii="Arial" w:hAnsi="Arial" w:cs="Arial"/>
                <w:sz w:val="20"/>
                <w:szCs w:val="20"/>
                <w:lang w:val="en-GB"/>
              </w:rPr>
              <w:t xml:space="preserve">SIC’s administrative proceedings may initiate </w:t>
            </w:r>
            <w:r w:rsidRPr="00E6406D">
              <w:rPr>
                <w:rFonts w:ascii="Arial" w:hAnsi="Arial" w:cs="Arial"/>
                <w:i/>
                <w:sz w:val="20"/>
                <w:szCs w:val="20"/>
                <w:lang w:val="en-GB"/>
              </w:rPr>
              <w:t>ex officio,</w:t>
            </w:r>
            <w:r>
              <w:rPr>
                <w:rFonts w:ascii="Arial" w:hAnsi="Arial" w:cs="Arial"/>
                <w:sz w:val="20"/>
                <w:szCs w:val="20"/>
                <w:lang w:val="en-GB"/>
              </w:rPr>
              <w:t xml:space="preserve"> by complaint, based on leniency information, or even because of notifications or alerts given by other authorities. </w:t>
            </w:r>
            <w:r w:rsidRPr="00203F80">
              <w:rPr>
                <w:rFonts w:ascii="Arial" w:hAnsi="Arial" w:cs="Arial"/>
                <w:sz w:val="20"/>
                <w:szCs w:val="20"/>
                <w:lang w:val="en-GB"/>
              </w:rPr>
              <w:t xml:space="preserve">If the SIC receives a complaint, the Deputy Superintendent for Competition Protection reviews it and determines whether to open a preliminary inquiry or to dismiss the complaint. In making this decision, the Deputy is guided by </w:t>
            </w:r>
            <w:r w:rsidR="008D1324">
              <w:rPr>
                <w:rFonts w:ascii="Arial" w:hAnsi="Arial" w:cs="Arial"/>
                <w:sz w:val="20"/>
                <w:szCs w:val="20"/>
                <w:lang w:val="en-GB"/>
              </w:rPr>
              <w:t xml:space="preserve">point 3 of </w:t>
            </w:r>
            <w:r w:rsidRPr="00203F80">
              <w:rPr>
                <w:rFonts w:ascii="Arial" w:hAnsi="Arial" w:cs="Arial"/>
                <w:sz w:val="20"/>
                <w:szCs w:val="20"/>
                <w:lang w:val="en-GB"/>
              </w:rPr>
              <w:t>Article 1 of Decree 4886 of 2011, which instructs the SIC to pursue only those claims that are “significant” for the purposes of maintaining competitive markets or promoting efficiency and consumer welfare.</w:t>
            </w:r>
          </w:p>
          <w:p w14:paraId="0CA0AE04" w14:textId="77777777" w:rsidR="00111A95" w:rsidRDefault="00111A95" w:rsidP="00511063">
            <w:pPr>
              <w:jc w:val="both"/>
              <w:rPr>
                <w:rFonts w:ascii="Arial" w:hAnsi="Arial" w:cs="Arial"/>
                <w:sz w:val="20"/>
                <w:szCs w:val="20"/>
                <w:lang w:val="en-GB"/>
              </w:rPr>
            </w:pPr>
          </w:p>
          <w:p w14:paraId="0B409451" w14:textId="77777777" w:rsidR="00111A95" w:rsidRDefault="00111A95" w:rsidP="00511063">
            <w:pPr>
              <w:jc w:val="both"/>
              <w:rPr>
                <w:rFonts w:ascii="Arial" w:hAnsi="Arial" w:cs="Arial"/>
                <w:sz w:val="20"/>
                <w:szCs w:val="20"/>
                <w:lang w:val="en-GB"/>
              </w:rPr>
            </w:pPr>
            <w:r>
              <w:rPr>
                <w:rFonts w:ascii="Arial" w:hAnsi="Arial" w:cs="Arial"/>
                <w:sz w:val="20"/>
                <w:szCs w:val="20"/>
                <w:lang w:val="en-GB"/>
              </w:rPr>
              <w:t>In a first stage, the</w:t>
            </w:r>
            <w:r w:rsidRPr="00756F0C">
              <w:rPr>
                <w:rFonts w:ascii="Arial" w:hAnsi="Arial" w:cs="Arial"/>
                <w:sz w:val="20"/>
                <w:szCs w:val="20"/>
                <w:lang w:val="en-GB"/>
              </w:rPr>
              <w:t xml:space="preserve"> Deputy Superintendent for </w:t>
            </w:r>
            <w:r>
              <w:rPr>
                <w:rFonts w:ascii="Arial" w:hAnsi="Arial" w:cs="Arial"/>
                <w:sz w:val="20"/>
                <w:szCs w:val="20"/>
                <w:lang w:val="en-GB"/>
              </w:rPr>
              <w:t>Competition Protection</w:t>
            </w:r>
            <w:r w:rsidR="00E566DE">
              <w:rPr>
                <w:rFonts w:ascii="Arial" w:hAnsi="Arial" w:cs="Arial"/>
                <w:sz w:val="20"/>
                <w:szCs w:val="20"/>
                <w:lang w:val="en-GB"/>
              </w:rPr>
              <w:t xml:space="preserve"> </w:t>
            </w:r>
            <w:r>
              <w:rPr>
                <w:rFonts w:ascii="Arial" w:hAnsi="Arial" w:cs="Arial"/>
                <w:sz w:val="20"/>
                <w:szCs w:val="20"/>
                <w:lang w:val="en-GB"/>
              </w:rPr>
              <w:t>must determine</w:t>
            </w:r>
            <w:r w:rsidRPr="00756F0C">
              <w:rPr>
                <w:rFonts w:ascii="Arial" w:hAnsi="Arial" w:cs="Arial"/>
                <w:sz w:val="20"/>
                <w:szCs w:val="20"/>
                <w:lang w:val="en-GB"/>
              </w:rPr>
              <w:t xml:space="preserve"> whether to open a preliminary inquiry or to dismiss the complaint</w:t>
            </w:r>
            <w:r>
              <w:rPr>
                <w:rFonts w:ascii="Arial" w:hAnsi="Arial" w:cs="Arial"/>
                <w:sz w:val="20"/>
                <w:szCs w:val="20"/>
                <w:lang w:val="en-GB"/>
              </w:rPr>
              <w:t xml:space="preserve"> or the initial information collected ex officio</w:t>
            </w:r>
            <w:r w:rsidRPr="00756F0C">
              <w:rPr>
                <w:rFonts w:ascii="Arial" w:hAnsi="Arial" w:cs="Arial"/>
                <w:sz w:val="20"/>
                <w:szCs w:val="20"/>
                <w:lang w:val="en-GB"/>
              </w:rPr>
              <w:t xml:space="preserve">. </w:t>
            </w:r>
          </w:p>
          <w:p w14:paraId="47869821" w14:textId="77777777" w:rsidR="00111A95" w:rsidRDefault="00111A95" w:rsidP="00511063">
            <w:pPr>
              <w:jc w:val="both"/>
              <w:rPr>
                <w:rFonts w:ascii="Arial" w:hAnsi="Arial" w:cs="Arial"/>
                <w:sz w:val="20"/>
                <w:szCs w:val="20"/>
                <w:lang w:val="en-GB"/>
              </w:rPr>
            </w:pPr>
          </w:p>
          <w:p w14:paraId="11870661" w14:textId="77777777" w:rsidR="00111A95" w:rsidRDefault="00111A95" w:rsidP="00511063">
            <w:pPr>
              <w:jc w:val="both"/>
              <w:rPr>
                <w:rFonts w:ascii="Arial" w:hAnsi="Arial" w:cs="Arial"/>
                <w:sz w:val="20"/>
                <w:szCs w:val="20"/>
                <w:lang w:val="en-GB"/>
              </w:rPr>
            </w:pPr>
            <w:r>
              <w:rPr>
                <w:rFonts w:ascii="Arial" w:hAnsi="Arial" w:cs="Arial"/>
                <w:sz w:val="20"/>
                <w:szCs w:val="20"/>
                <w:lang w:val="en-GB"/>
              </w:rPr>
              <w:t xml:space="preserve">If a preliminary inquiry is opened, </w:t>
            </w:r>
            <w:r w:rsidRPr="00756F0C">
              <w:rPr>
                <w:rFonts w:ascii="Arial" w:hAnsi="Arial" w:cs="Arial"/>
                <w:sz w:val="20"/>
                <w:szCs w:val="20"/>
                <w:lang w:val="en-GB"/>
              </w:rPr>
              <w:t xml:space="preserve">the </w:t>
            </w:r>
            <w:r>
              <w:rPr>
                <w:rFonts w:ascii="Arial" w:hAnsi="Arial" w:cs="Arial"/>
                <w:sz w:val="20"/>
                <w:szCs w:val="20"/>
                <w:lang w:val="en-GB"/>
              </w:rPr>
              <w:t>Deputy Superintendence</w:t>
            </w:r>
            <w:r w:rsidR="007B645E">
              <w:rPr>
                <w:rFonts w:ascii="Arial" w:hAnsi="Arial" w:cs="Arial"/>
                <w:sz w:val="20"/>
                <w:szCs w:val="20"/>
                <w:lang w:val="en-GB"/>
              </w:rPr>
              <w:t xml:space="preserve"> for Competition</w:t>
            </w:r>
            <w:r w:rsidRPr="00756F0C">
              <w:rPr>
                <w:rFonts w:ascii="Arial" w:hAnsi="Arial" w:cs="Arial"/>
                <w:sz w:val="20"/>
                <w:szCs w:val="20"/>
                <w:lang w:val="en-GB"/>
              </w:rPr>
              <w:t xml:space="preserve"> is authorized by law to collect all the evidence that is related to the facts that are subject to inquiry, in order to verify the facts, determine which persons were involved in the alleged competition infringement and </w:t>
            </w:r>
            <w:r>
              <w:rPr>
                <w:rFonts w:ascii="Arial" w:hAnsi="Arial" w:cs="Arial"/>
                <w:sz w:val="20"/>
                <w:szCs w:val="20"/>
                <w:lang w:val="en-GB"/>
              </w:rPr>
              <w:t>define if the</w:t>
            </w:r>
            <w:r w:rsidRPr="00756F0C">
              <w:rPr>
                <w:rFonts w:ascii="Arial" w:hAnsi="Arial" w:cs="Arial"/>
                <w:sz w:val="20"/>
                <w:szCs w:val="20"/>
                <w:lang w:val="en-GB"/>
              </w:rPr>
              <w:t xml:space="preserve"> conduct would effectively constitute a restrictive practice of competition. </w:t>
            </w:r>
          </w:p>
          <w:p w14:paraId="040C694B" w14:textId="77777777" w:rsidR="00111A95" w:rsidRPr="00756F0C" w:rsidRDefault="00111A95" w:rsidP="00511063">
            <w:pPr>
              <w:jc w:val="both"/>
              <w:rPr>
                <w:rFonts w:ascii="Arial" w:hAnsi="Arial" w:cs="Arial"/>
                <w:sz w:val="20"/>
                <w:szCs w:val="20"/>
                <w:lang w:val="en-GB"/>
              </w:rPr>
            </w:pPr>
          </w:p>
          <w:p w14:paraId="6B30229B" w14:textId="77777777" w:rsidR="00111A95" w:rsidRPr="00C3537E" w:rsidRDefault="00111A95" w:rsidP="00511063">
            <w:pPr>
              <w:spacing w:before="120"/>
              <w:jc w:val="both"/>
              <w:rPr>
                <w:rFonts w:ascii="Arial" w:hAnsi="Arial" w:cs="Arial"/>
                <w:sz w:val="20"/>
                <w:lang w:val="en-GB"/>
              </w:rPr>
            </w:pPr>
            <w:r>
              <w:rPr>
                <w:rFonts w:ascii="Arial" w:hAnsi="Arial" w:cs="Arial"/>
                <w:sz w:val="20"/>
                <w:szCs w:val="20"/>
                <w:lang w:val="en-GB"/>
              </w:rPr>
              <w:t>A</w:t>
            </w:r>
            <w:r w:rsidR="00E566DE">
              <w:rPr>
                <w:rFonts w:ascii="Arial" w:hAnsi="Arial" w:cs="Arial"/>
                <w:sz w:val="20"/>
                <w:szCs w:val="20"/>
                <w:lang w:val="en-GB"/>
              </w:rPr>
              <w:t xml:space="preserve"> </w:t>
            </w:r>
            <w:r>
              <w:rPr>
                <w:rFonts w:ascii="Arial" w:hAnsi="Arial" w:cs="Arial"/>
                <w:sz w:val="20"/>
                <w:szCs w:val="20"/>
                <w:lang w:val="en-GB"/>
              </w:rPr>
              <w:t>formal investigation will be opened only</w:t>
            </w:r>
            <w:r w:rsidRPr="00756F0C">
              <w:rPr>
                <w:rFonts w:ascii="Arial" w:hAnsi="Arial" w:cs="Arial"/>
                <w:sz w:val="20"/>
                <w:szCs w:val="20"/>
                <w:lang w:val="en-GB"/>
              </w:rPr>
              <w:t xml:space="preserve"> if the evidence in the</w:t>
            </w:r>
            <w:r>
              <w:rPr>
                <w:rFonts w:ascii="Arial" w:hAnsi="Arial" w:cs="Arial"/>
                <w:sz w:val="20"/>
                <w:szCs w:val="20"/>
                <w:lang w:val="en-GB"/>
              </w:rPr>
              <w:t xml:space="preserve"> preliminary</w:t>
            </w:r>
            <w:r w:rsidRPr="00756F0C">
              <w:rPr>
                <w:rFonts w:ascii="Arial" w:hAnsi="Arial" w:cs="Arial"/>
                <w:sz w:val="20"/>
                <w:szCs w:val="20"/>
                <w:lang w:val="en-GB"/>
              </w:rPr>
              <w:t xml:space="preserve"> record allows the </w:t>
            </w:r>
            <w:r>
              <w:rPr>
                <w:rFonts w:ascii="Arial" w:hAnsi="Arial" w:cs="Arial"/>
                <w:sz w:val="20"/>
                <w:szCs w:val="20"/>
                <w:lang w:val="en-GB"/>
              </w:rPr>
              <w:t>Deputy Superintendence</w:t>
            </w:r>
            <w:r w:rsidRPr="00756F0C">
              <w:rPr>
                <w:rFonts w:ascii="Arial" w:hAnsi="Arial" w:cs="Arial"/>
                <w:sz w:val="20"/>
                <w:szCs w:val="20"/>
                <w:lang w:val="en-GB"/>
              </w:rPr>
              <w:t xml:space="preserve"> to infer that the restrictive behaviour (by object o</w:t>
            </w:r>
            <w:r>
              <w:rPr>
                <w:rFonts w:ascii="Arial" w:hAnsi="Arial" w:cs="Arial"/>
                <w:sz w:val="20"/>
                <w:szCs w:val="20"/>
                <w:lang w:val="en-GB"/>
              </w:rPr>
              <w:t>r</w:t>
            </w:r>
            <w:r w:rsidRPr="00756F0C">
              <w:rPr>
                <w:rFonts w:ascii="Arial" w:hAnsi="Arial" w:cs="Arial"/>
                <w:sz w:val="20"/>
                <w:szCs w:val="20"/>
                <w:lang w:val="en-GB"/>
              </w:rPr>
              <w:t xml:space="preserve"> effect) was performed by the suspected parties. </w:t>
            </w:r>
            <w:r>
              <w:rPr>
                <w:rFonts w:ascii="Arial" w:hAnsi="Arial" w:cs="Arial"/>
                <w:sz w:val="20"/>
                <w:szCs w:val="20"/>
                <w:lang w:val="en-GB"/>
              </w:rPr>
              <w:t>When a formal investigation is opened,</w:t>
            </w:r>
            <w:r w:rsidRPr="00756F0C">
              <w:rPr>
                <w:rFonts w:ascii="Arial" w:hAnsi="Arial" w:cs="Arial"/>
                <w:sz w:val="20"/>
                <w:szCs w:val="20"/>
                <w:lang w:val="en-GB"/>
              </w:rPr>
              <w:t xml:space="preserve"> suspected parties get</w:t>
            </w:r>
            <w:r>
              <w:rPr>
                <w:rFonts w:ascii="Arial" w:hAnsi="Arial" w:cs="Arial"/>
                <w:sz w:val="20"/>
                <w:szCs w:val="20"/>
                <w:lang w:val="en-GB"/>
              </w:rPr>
              <w:t xml:space="preserve"> notice about the case (before this stage the case is confidential), and from this moment they get</w:t>
            </w:r>
            <w:r w:rsidRPr="00756F0C">
              <w:rPr>
                <w:rFonts w:ascii="Arial" w:hAnsi="Arial" w:cs="Arial"/>
                <w:sz w:val="20"/>
                <w:szCs w:val="20"/>
                <w:lang w:val="en-GB"/>
              </w:rPr>
              <w:t xml:space="preserve"> linked to the administrative proceeding as investigated parties.</w:t>
            </w:r>
          </w:p>
        </w:tc>
      </w:tr>
      <w:tr w:rsidR="00111A95" w:rsidRPr="00C3537E" w14:paraId="379100FB" w14:textId="77777777" w:rsidTr="00111A95">
        <w:tc>
          <w:tcPr>
            <w:tcW w:w="3514" w:type="dxa"/>
            <w:tcBorders>
              <w:left w:val="nil"/>
            </w:tcBorders>
            <w:shd w:val="clear" w:color="auto" w:fill="F3DFC3"/>
          </w:tcPr>
          <w:p w14:paraId="67F55578" w14:textId="77777777" w:rsidR="00111A95" w:rsidRPr="00C3537E" w:rsidRDefault="00111A95" w:rsidP="00111A95">
            <w:pPr>
              <w:numPr>
                <w:ilvl w:val="0"/>
                <w:numId w:val="16"/>
              </w:numPr>
              <w:spacing w:before="120" w:after="120"/>
              <w:rPr>
                <w:rFonts w:ascii="Arial" w:hAnsi="Arial" w:cs="Arial"/>
                <w:b/>
                <w:bCs/>
                <w:sz w:val="20"/>
                <w:lang w:val="en-GB"/>
              </w:rPr>
            </w:pPr>
            <w:r w:rsidRPr="00C3537E">
              <w:rPr>
                <w:rFonts w:ascii="Arial" w:hAnsi="Arial" w:cs="Arial"/>
                <w:b/>
                <w:bCs/>
                <w:sz w:val="20"/>
                <w:lang w:val="en-GB"/>
              </w:rPr>
              <w:t>Are complaints required to be made in a specific form (e.g. by phone, in writing, on a form, etc.)? [If there is a requirement to complete a specific form, please, indicate its location (website address).]</w:t>
            </w:r>
          </w:p>
        </w:tc>
        <w:tc>
          <w:tcPr>
            <w:tcW w:w="5550" w:type="dxa"/>
            <w:tcBorders>
              <w:right w:val="nil"/>
            </w:tcBorders>
          </w:tcPr>
          <w:p w14:paraId="49DCD2D5" w14:textId="77777777" w:rsidR="00111A95" w:rsidRPr="00C3537E" w:rsidRDefault="00511063" w:rsidP="00511063">
            <w:pPr>
              <w:spacing w:before="120"/>
              <w:jc w:val="both"/>
              <w:rPr>
                <w:rFonts w:ascii="Arial" w:hAnsi="Arial" w:cs="Arial"/>
                <w:lang w:val="en-GB"/>
              </w:rPr>
            </w:pPr>
            <w:r>
              <w:rPr>
                <w:rFonts w:ascii="Arial" w:hAnsi="Arial" w:cs="Arial"/>
                <w:sz w:val="20"/>
                <w:szCs w:val="20"/>
                <w:lang w:val="en-GB"/>
              </w:rPr>
              <w:t>Complaints must be made in writing, but no application form or formality is required. The name of the complainant can be confidential when solicited. The Deputy Superintendence</w:t>
            </w:r>
            <w:r w:rsidR="00E566DE">
              <w:rPr>
                <w:rFonts w:ascii="Arial" w:hAnsi="Arial" w:cs="Arial"/>
                <w:sz w:val="20"/>
                <w:szCs w:val="20"/>
                <w:lang w:val="en-GB"/>
              </w:rPr>
              <w:t xml:space="preserve"> </w:t>
            </w:r>
            <w:r w:rsidR="007B645E" w:rsidRPr="00756F0C">
              <w:rPr>
                <w:rFonts w:ascii="Arial" w:hAnsi="Arial" w:cs="Arial"/>
                <w:sz w:val="20"/>
                <w:szCs w:val="20"/>
                <w:lang w:val="en-GB"/>
              </w:rPr>
              <w:t xml:space="preserve">for </w:t>
            </w:r>
            <w:r w:rsidR="007B645E">
              <w:rPr>
                <w:rFonts w:ascii="Arial" w:hAnsi="Arial" w:cs="Arial"/>
                <w:sz w:val="20"/>
                <w:szCs w:val="20"/>
                <w:lang w:val="en-GB"/>
              </w:rPr>
              <w:t>Competition Protection</w:t>
            </w:r>
            <w:r>
              <w:rPr>
                <w:rFonts w:ascii="Arial" w:hAnsi="Arial" w:cs="Arial"/>
                <w:sz w:val="20"/>
                <w:szCs w:val="20"/>
                <w:lang w:val="en-GB"/>
              </w:rPr>
              <w:t xml:space="preserve"> also receives anonymous complaints.</w:t>
            </w:r>
          </w:p>
        </w:tc>
      </w:tr>
      <w:tr w:rsidR="00111A95" w:rsidRPr="00C3537E" w14:paraId="32816B4F" w14:textId="77777777" w:rsidTr="00111A95">
        <w:tc>
          <w:tcPr>
            <w:tcW w:w="3514" w:type="dxa"/>
            <w:tcBorders>
              <w:left w:val="nil"/>
            </w:tcBorders>
            <w:shd w:val="clear" w:color="auto" w:fill="F3DFC3"/>
          </w:tcPr>
          <w:p w14:paraId="50DF8196" w14:textId="77777777" w:rsidR="00111A95" w:rsidRPr="00C3537E" w:rsidRDefault="00111A95" w:rsidP="00111A95">
            <w:pPr>
              <w:numPr>
                <w:ilvl w:val="0"/>
                <w:numId w:val="16"/>
              </w:numPr>
              <w:spacing w:before="120" w:after="120"/>
              <w:rPr>
                <w:rFonts w:ascii="Arial" w:hAnsi="Arial" w:cs="Arial"/>
                <w:b/>
                <w:bCs/>
                <w:sz w:val="20"/>
                <w:lang w:val="en-GB"/>
              </w:rPr>
            </w:pPr>
            <w:r w:rsidRPr="00C3537E">
              <w:rPr>
                <w:rFonts w:ascii="Arial" w:hAnsi="Arial" w:cs="Arial"/>
                <w:b/>
                <w:bCs/>
                <w:sz w:val="20"/>
                <w:lang w:val="en-GB"/>
              </w:rPr>
              <w:lastRenderedPageBreak/>
              <w:t>Legal requirements for lodging a complaint against a cartel: [e.g. is legitimate interest required, or is standing to make a complaint limited to certain categories of complainant?]</w:t>
            </w:r>
          </w:p>
        </w:tc>
        <w:tc>
          <w:tcPr>
            <w:tcW w:w="5550" w:type="dxa"/>
            <w:tcBorders>
              <w:right w:val="nil"/>
            </w:tcBorders>
          </w:tcPr>
          <w:p w14:paraId="297B409E" w14:textId="77777777" w:rsidR="00511063" w:rsidRPr="0034021A" w:rsidRDefault="00511063" w:rsidP="00511063">
            <w:pPr>
              <w:jc w:val="both"/>
              <w:rPr>
                <w:rFonts w:ascii="Arial" w:hAnsi="Arial" w:cs="Arial"/>
                <w:sz w:val="20"/>
                <w:szCs w:val="20"/>
                <w:lang w:val="en-GB"/>
              </w:rPr>
            </w:pPr>
            <w:r w:rsidRPr="0034021A">
              <w:rPr>
                <w:rFonts w:ascii="Arial" w:hAnsi="Arial" w:cs="Arial"/>
                <w:sz w:val="20"/>
                <w:szCs w:val="20"/>
                <w:lang w:val="en-GB"/>
              </w:rPr>
              <w:t xml:space="preserve">The complaints have to be “significant” for the purposes of maintaining competitive markets or promoting efficiency and consumer welfare. </w:t>
            </w:r>
          </w:p>
          <w:p w14:paraId="786AC12A" w14:textId="77777777" w:rsidR="00111A95" w:rsidRPr="00C3537E" w:rsidRDefault="00111A95" w:rsidP="00111A95">
            <w:pPr>
              <w:spacing w:before="120"/>
              <w:rPr>
                <w:rFonts w:ascii="Arial" w:hAnsi="Arial" w:cs="Arial"/>
                <w:sz w:val="20"/>
                <w:lang w:val="en-GB"/>
              </w:rPr>
            </w:pPr>
          </w:p>
        </w:tc>
      </w:tr>
      <w:tr w:rsidR="00111A95" w:rsidRPr="00C3537E" w14:paraId="792CC77F" w14:textId="77777777" w:rsidTr="00111A95">
        <w:tc>
          <w:tcPr>
            <w:tcW w:w="3514" w:type="dxa"/>
            <w:tcBorders>
              <w:left w:val="nil"/>
            </w:tcBorders>
            <w:shd w:val="clear" w:color="auto" w:fill="F3DFC3"/>
          </w:tcPr>
          <w:p w14:paraId="29FE83B4" w14:textId="77777777" w:rsidR="00111A95" w:rsidRPr="00C3537E" w:rsidRDefault="00111A95" w:rsidP="00111A95">
            <w:pPr>
              <w:numPr>
                <w:ilvl w:val="0"/>
                <w:numId w:val="16"/>
              </w:numPr>
              <w:spacing w:before="120" w:after="120"/>
              <w:rPr>
                <w:rFonts w:ascii="Arial" w:hAnsi="Arial" w:cs="Arial"/>
                <w:b/>
                <w:bCs/>
                <w:sz w:val="20"/>
                <w:lang w:val="en-GB"/>
              </w:rPr>
            </w:pPr>
            <w:r w:rsidRPr="00C3537E">
              <w:rPr>
                <w:rFonts w:ascii="Arial" w:hAnsi="Arial" w:cs="Arial"/>
                <w:b/>
                <w:bCs/>
                <w:sz w:val="20"/>
                <w:lang w:val="en-GB"/>
              </w:rPr>
              <w:t>Is the investigating agency obliged to take action on each complaint that it receives or does it have discretion in this respect? [Please elaborate.]</w:t>
            </w:r>
          </w:p>
        </w:tc>
        <w:tc>
          <w:tcPr>
            <w:tcW w:w="5550" w:type="dxa"/>
            <w:tcBorders>
              <w:right w:val="nil"/>
            </w:tcBorders>
          </w:tcPr>
          <w:p w14:paraId="240F473D" w14:textId="77777777" w:rsidR="00111A95" w:rsidRPr="00F3358A" w:rsidRDefault="007B645E" w:rsidP="00F3358A">
            <w:pPr>
              <w:spacing w:before="120"/>
              <w:jc w:val="both"/>
              <w:rPr>
                <w:rFonts w:ascii="Arial" w:hAnsi="Arial" w:cs="Arial"/>
                <w:sz w:val="20"/>
                <w:szCs w:val="20"/>
                <w:lang w:val="en-GB"/>
              </w:rPr>
            </w:pPr>
            <w:r>
              <w:rPr>
                <w:rFonts w:ascii="Arial" w:hAnsi="Arial" w:cs="Arial"/>
                <w:sz w:val="20"/>
                <w:szCs w:val="20"/>
                <w:lang w:val="en-GB"/>
              </w:rPr>
              <w:t>Yes</w:t>
            </w:r>
            <w:r w:rsidR="00511063">
              <w:rPr>
                <w:rFonts w:ascii="Arial" w:hAnsi="Arial" w:cs="Arial"/>
                <w:sz w:val="20"/>
                <w:szCs w:val="20"/>
                <w:lang w:val="en-GB"/>
              </w:rPr>
              <w:t xml:space="preserve">. </w:t>
            </w:r>
            <w:r>
              <w:rPr>
                <w:rFonts w:ascii="Arial" w:hAnsi="Arial" w:cs="Arial"/>
                <w:sz w:val="20"/>
                <w:szCs w:val="20"/>
                <w:lang w:val="en-GB"/>
              </w:rPr>
              <w:t xml:space="preserve">The Deputy Superintendence </w:t>
            </w:r>
            <w:r w:rsidRPr="00756F0C">
              <w:rPr>
                <w:rFonts w:ascii="Arial" w:hAnsi="Arial" w:cs="Arial"/>
                <w:sz w:val="20"/>
                <w:szCs w:val="20"/>
                <w:lang w:val="en-GB"/>
              </w:rPr>
              <w:t xml:space="preserve">for </w:t>
            </w:r>
            <w:r>
              <w:rPr>
                <w:rFonts w:ascii="Arial" w:hAnsi="Arial" w:cs="Arial"/>
                <w:sz w:val="20"/>
                <w:szCs w:val="20"/>
                <w:lang w:val="en-GB"/>
              </w:rPr>
              <w:t>Competition Protection</w:t>
            </w:r>
            <w:r w:rsidR="00F3358A">
              <w:rPr>
                <w:rFonts w:ascii="Arial" w:hAnsi="Arial" w:cs="Arial"/>
                <w:sz w:val="20"/>
                <w:szCs w:val="20"/>
                <w:lang w:val="en-GB"/>
              </w:rPr>
              <w:t xml:space="preserve"> attends all the complaints presented, and o</w:t>
            </w:r>
            <w:r w:rsidR="00511063">
              <w:rPr>
                <w:rFonts w:ascii="Arial" w:hAnsi="Arial" w:cs="Arial"/>
                <w:sz w:val="20"/>
                <w:szCs w:val="20"/>
                <w:lang w:val="en-GB"/>
              </w:rPr>
              <w:t xml:space="preserve">nly significant complaints </w:t>
            </w:r>
            <w:r w:rsidR="00F3358A">
              <w:rPr>
                <w:rFonts w:ascii="Arial" w:hAnsi="Arial" w:cs="Arial"/>
                <w:sz w:val="20"/>
                <w:szCs w:val="20"/>
                <w:lang w:val="en-GB"/>
              </w:rPr>
              <w:t xml:space="preserve">related to competition regime </w:t>
            </w:r>
            <w:r w:rsidR="00511063">
              <w:rPr>
                <w:rFonts w:ascii="Arial" w:hAnsi="Arial" w:cs="Arial"/>
                <w:sz w:val="20"/>
                <w:szCs w:val="20"/>
                <w:lang w:val="en-GB"/>
              </w:rPr>
              <w:t xml:space="preserve">are </w:t>
            </w:r>
            <w:r w:rsidR="00F3358A">
              <w:rPr>
                <w:rFonts w:ascii="Arial" w:hAnsi="Arial" w:cs="Arial"/>
                <w:sz w:val="20"/>
                <w:szCs w:val="20"/>
                <w:lang w:val="en-GB"/>
              </w:rPr>
              <w:t>evaluated as a possible antitrust case</w:t>
            </w:r>
            <w:r w:rsidR="00511063">
              <w:rPr>
                <w:rFonts w:ascii="Arial" w:hAnsi="Arial" w:cs="Arial"/>
                <w:sz w:val="20"/>
                <w:szCs w:val="20"/>
                <w:lang w:val="en-GB"/>
              </w:rPr>
              <w:t xml:space="preserve">, according to Decree 4886 of 2011. As a consequence, the Superintendence has been given the faculty to allocate its resources to those agreements that are more likely to affect a specific economic market, as well as conducts that are of general interest. The purpose of this is to safeguard the free participation in the market, wellbeing of consumers and economic efficiency.  </w:t>
            </w:r>
          </w:p>
        </w:tc>
      </w:tr>
      <w:tr w:rsidR="00511063" w:rsidRPr="00C3537E" w14:paraId="1A24A44A" w14:textId="77777777" w:rsidTr="00111A95">
        <w:tc>
          <w:tcPr>
            <w:tcW w:w="3514" w:type="dxa"/>
            <w:tcBorders>
              <w:left w:val="nil"/>
            </w:tcBorders>
            <w:shd w:val="clear" w:color="auto" w:fill="F3DFC3"/>
          </w:tcPr>
          <w:p w14:paraId="45EE5942" w14:textId="77777777" w:rsidR="00511063" w:rsidRPr="00C3537E" w:rsidRDefault="00511063" w:rsidP="00511063">
            <w:pPr>
              <w:numPr>
                <w:ilvl w:val="0"/>
                <w:numId w:val="16"/>
              </w:numPr>
              <w:spacing w:before="120" w:after="120"/>
              <w:rPr>
                <w:rFonts w:ascii="Arial" w:hAnsi="Arial" w:cs="Arial"/>
                <w:b/>
                <w:bCs/>
                <w:sz w:val="20"/>
                <w:lang w:val="en-GB"/>
              </w:rPr>
            </w:pPr>
            <w:r w:rsidRPr="00C3537E">
              <w:rPr>
                <w:rFonts w:ascii="Arial" w:hAnsi="Arial" w:cs="Arial"/>
                <w:b/>
                <w:bCs/>
                <w:sz w:val="20"/>
                <w:lang w:val="en-GB"/>
              </w:rPr>
              <w:t>If the agency intends not to pursue a complaint, is it required to adopt a decision addressed to the complainant explaining its reasons?</w:t>
            </w:r>
          </w:p>
        </w:tc>
        <w:tc>
          <w:tcPr>
            <w:tcW w:w="5550" w:type="dxa"/>
            <w:tcBorders>
              <w:right w:val="nil"/>
            </w:tcBorders>
          </w:tcPr>
          <w:p w14:paraId="63E31835" w14:textId="77777777" w:rsidR="00511063" w:rsidRPr="00C3537E" w:rsidRDefault="00511063" w:rsidP="00511063">
            <w:pPr>
              <w:spacing w:before="120"/>
              <w:jc w:val="both"/>
              <w:rPr>
                <w:rFonts w:ascii="Arial" w:hAnsi="Arial" w:cs="Arial"/>
                <w:sz w:val="20"/>
                <w:lang w:val="en-GB"/>
              </w:rPr>
            </w:pPr>
            <w:r>
              <w:rPr>
                <w:rFonts w:ascii="Arial" w:hAnsi="Arial" w:cs="Arial"/>
                <w:sz w:val="20"/>
                <w:szCs w:val="20"/>
                <w:lang w:val="en-GB"/>
              </w:rPr>
              <w:t xml:space="preserve">None of the regulations obliges to adopt a decision and explain the reasons why a complaint is closed. </w:t>
            </w:r>
            <w:r w:rsidR="00F3358A">
              <w:rPr>
                <w:rFonts w:ascii="Arial" w:hAnsi="Arial" w:cs="Arial"/>
                <w:sz w:val="20"/>
                <w:szCs w:val="20"/>
                <w:lang w:val="en-GB"/>
              </w:rPr>
              <w:t xml:space="preserve">Nevertheless, the Deputy produce a technical preliminary report about the complaint. This document is confidential, and it is saved in the file of the case. </w:t>
            </w:r>
            <w:r>
              <w:rPr>
                <w:rFonts w:ascii="Arial" w:hAnsi="Arial" w:cs="Arial"/>
                <w:sz w:val="20"/>
                <w:szCs w:val="20"/>
                <w:lang w:val="en-GB"/>
              </w:rPr>
              <w:t xml:space="preserve">However, if the closing happens during the “preliminary inquiry” stage, the Deputy Superintendence must issue a resolution explaining why such decision was taken. </w:t>
            </w:r>
          </w:p>
        </w:tc>
      </w:tr>
      <w:tr w:rsidR="00511063" w:rsidRPr="00C3537E" w14:paraId="412554E5" w14:textId="77777777" w:rsidTr="00111A95">
        <w:tc>
          <w:tcPr>
            <w:tcW w:w="3514" w:type="dxa"/>
            <w:tcBorders>
              <w:left w:val="nil"/>
            </w:tcBorders>
            <w:shd w:val="clear" w:color="auto" w:fill="F3DFC3"/>
          </w:tcPr>
          <w:p w14:paraId="0ABF681A" w14:textId="77777777" w:rsidR="00511063" w:rsidRPr="00C3537E" w:rsidRDefault="00511063" w:rsidP="00511063">
            <w:pPr>
              <w:numPr>
                <w:ilvl w:val="0"/>
                <w:numId w:val="16"/>
              </w:numPr>
              <w:spacing w:before="120" w:after="120"/>
              <w:rPr>
                <w:rFonts w:ascii="Arial" w:hAnsi="Arial" w:cs="Arial"/>
                <w:b/>
                <w:bCs/>
                <w:sz w:val="20"/>
                <w:lang w:val="en-GB"/>
              </w:rPr>
            </w:pPr>
            <w:r w:rsidRPr="00C3537E">
              <w:rPr>
                <w:rFonts w:ascii="Arial" w:hAnsi="Arial" w:cs="Arial"/>
                <w:b/>
                <w:bCs/>
                <w:sz w:val="20"/>
                <w:lang w:val="en-GB"/>
              </w:rPr>
              <w:t>Is there a time limit counted from the date of receipt of a complaint by the competition agency for taking the decision on whether to investigate or reject it?</w:t>
            </w:r>
          </w:p>
        </w:tc>
        <w:tc>
          <w:tcPr>
            <w:tcW w:w="5550" w:type="dxa"/>
            <w:tcBorders>
              <w:right w:val="nil"/>
            </w:tcBorders>
          </w:tcPr>
          <w:p w14:paraId="6C097047" w14:textId="77777777" w:rsidR="00511063" w:rsidRPr="00C3537E" w:rsidRDefault="00511063" w:rsidP="00511063">
            <w:pPr>
              <w:spacing w:before="120"/>
              <w:jc w:val="both"/>
              <w:rPr>
                <w:rFonts w:ascii="Arial" w:hAnsi="Arial" w:cs="Arial"/>
                <w:lang w:val="en-GB"/>
              </w:rPr>
            </w:pPr>
            <w:r>
              <w:rPr>
                <w:rFonts w:ascii="Arial" w:hAnsi="Arial" w:cs="Arial"/>
                <w:sz w:val="20"/>
                <w:szCs w:val="20"/>
                <w:lang w:val="en-GB"/>
              </w:rPr>
              <w:t xml:space="preserve">According to Article 27 of Law 1340, the lapsing of the legal action </w:t>
            </w:r>
            <w:r w:rsidRPr="006B73AA">
              <w:rPr>
                <w:rFonts w:ascii="Arial" w:hAnsi="Arial" w:cs="Arial"/>
                <w:sz w:val="20"/>
                <w:szCs w:val="20"/>
                <w:lang w:val="en-GB"/>
              </w:rPr>
              <w:t>is 5 years from the date of the termination of the infringement or</w:t>
            </w:r>
            <w:r>
              <w:rPr>
                <w:rFonts w:ascii="Arial" w:hAnsi="Arial" w:cs="Arial"/>
                <w:sz w:val="20"/>
                <w:szCs w:val="20"/>
                <w:lang w:val="en-GB"/>
              </w:rPr>
              <w:t xml:space="preserve"> from</w:t>
            </w:r>
            <w:r w:rsidRPr="006B73AA">
              <w:rPr>
                <w:rFonts w:ascii="Arial" w:hAnsi="Arial" w:cs="Arial"/>
                <w:sz w:val="20"/>
                <w:szCs w:val="20"/>
                <w:lang w:val="en-GB"/>
              </w:rPr>
              <w:t xml:space="preserve"> the occurrence of the last event related to the conduct under investigation. </w:t>
            </w:r>
          </w:p>
        </w:tc>
      </w:tr>
    </w:tbl>
    <w:p w14:paraId="5036ADD5" w14:textId="77777777" w:rsidR="007B7C69" w:rsidRPr="00C3537E" w:rsidRDefault="007B7C69">
      <w:pPr>
        <w:pStyle w:val="Textoindependiente"/>
        <w:rPr>
          <w:rFonts w:ascii="Arial" w:hAnsi="Arial" w:cs="Arial"/>
          <w:lang w:val="en-GB"/>
        </w:rPr>
      </w:pPr>
    </w:p>
    <w:p w14:paraId="5CB799A5" w14:textId="77777777" w:rsidR="007B7C69" w:rsidRPr="00C3537E" w:rsidRDefault="007B7C69">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59"/>
        <w:gridCol w:w="5677"/>
      </w:tblGrid>
      <w:tr w:rsidR="007B7C69" w:rsidRPr="00C3537E" w14:paraId="0ECFE384" w14:textId="77777777" w:rsidTr="00F87CF4">
        <w:tc>
          <w:tcPr>
            <w:tcW w:w="9262" w:type="dxa"/>
            <w:gridSpan w:val="2"/>
            <w:shd w:val="clear" w:color="auto" w:fill="61243B"/>
          </w:tcPr>
          <w:p w14:paraId="0A8E43E8"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t>Leniency policy</w:t>
            </w:r>
            <w:r w:rsidRPr="00C3537E">
              <w:rPr>
                <w:rStyle w:val="Refdenotaalpie"/>
                <w:rFonts w:cs="Arial"/>
                <w:color w:val="FFFFFF"/>
                <w:lang w:val="en-GB"/>
              </w:rPr>
              <w:footnoteReference w:id="6"/>
            </w:r>
          </w:p>
        </w:tc>
      </w:tr>
      <w:tr w:rsidR="007B7C69" w:rsidRPr="00C3537E" w14:paraId="0D3C9D8F" w14:textId="77777777" w:rsidTr="00F87CF4">
        <w:tblPrEx>
          <w:shd w:val="clear" w:color="auto" w:fill="auto"/>
        </w:tblPrEx>
        <w:tc>
          <w:tcPr>
            <w:tcW w:w="3440" w:type="dxa"/>
            <w:tcBorders>
              <w:left w:val="nil"/>
            </w:tcBorders>
            <w:shd w:val="clear" w:color="auto" w:fill="F3DFC3"/>
          </w:tcPr>
          <w:p w14:paraId="5857F653"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What is the official name of your leniency policy (if any)? [Please indicate its public availability.]</w:t>
            </w:r>
          </w:p>
        </w:tc>
        <w:tc>
          <w:tcPr>
            <w:tcW w:w="5822" w:type="dxa"/>
            <w:tcBorders>
              <w:right w:val="nil"/>
            </w:tcBorders>
          </w:tcPr>
          <w:p w14:paraId="4191B0E8" w14:textId="01782368" w:rsidR="007B7C69" w:rsidRPr="00C3537E" w:rsidRDefault="002B70C2" w:rsidP="0075300A">
            <w:pPr>
              <w:spacing w:before="120"/>
              <w:jc w:val="both"/>
              <w:rPr>
                <w:rFonts w:ascii="Arial" w:hAnsi="Arial" w:cs="Arial"/>
                <w:sz w:val="20"/>
                <w:lang w:val="en-GB"/>
              </w:rPr>
            </w:pPr>
            <w:r w:rsidRPr="006814A6">
              <w:rPr>
                <w:rFonts w:ascii="Arial" w:hAnsi="Arial" w:cs="Arial"/>
                <w:sz w:val="20"/>
                <w:szCs w:val="20"/>
                <w:lang w:val="en-GB"/>
              </w:rPr>
              <w:t xml:space="preserve">The Colombian leniency program </w:t>
            </w:r>
            <w:r w:rsidR="009811FA">
              <w:rPr>
                <w:rFonts w:ascii="Arial" w:hAnsi="Arial" w:cs="Arial"/>
                <w:sz w:val="20"/>
                <w:szCs w:val="20"/>
                <w:lang w:val="en-GB"/>
              </w:rPr>
              <w:t>is</w:t>
            </w:r>
            <w:r>
              <w:rPr>
                <w:rFonts w:ascii="Arial" w:hAnsi="Arial" w:cs="Arial"/>
                <w:sz w:val="20"/>
                <w:szCs w:val="20"/>
                <w:lang w:val="en-GB"/>
              </w:rPr>
              <w:t xml:space="preserve"> stablished in the competition regimen through article 14 of </w:t>
            </w:r>
            <w:r w:rsidR="009811FA">
              <w:rPr>
                <w:rFonts w:ascii="Arial" w:hAnsi="Arial" w:cs="Arial"/>
                <w:sz w:val="20"/>
                <w:szCs w:val="20"/>
                <w:lang w:val="en-GB"/>
              </w:rPr>
              <w:t xml:space="preserve">Law 1340 of 2009 and </w:t>
            </w:r>
            <w:r w:rsidRPr="006814A6">
              <w:rPr>
                <w:rFonts w:ascii="Arial" w:hAnsi="Arial" w:cs="Arial"/>
                <w:sz w:val="20"/>
                <w:szCs w:val="20"/>
                <w:lang w:val="en-GB"/>
              </w:rPr>
              <w:t xml:space="preserve">is regulated by Decree 1523 of 2015. The official name of this is </w:t>
            </w:r>
            <w:r w:rsidRPr="006814A6">
              <w:rPr>
                <w:rFonts w:ascii="Arial" w:hAnsi="Arial" w:cs="Arial"/>
                <w:i/>
                <w:sz w:val="20"/>
                <w:szCs w:val="20"/>
                <w:lang w:val="en-GB"/>
              </w:rPr>
              <w:t>“Programa de Beneficios por Colaboración</w:t>
            </w:r>
            <w:r w:rsidRPr="006814A6">
              <w:rPr>
                <w:rFonts w:ascii="Arial" w:hAnsi="Arial" w:cs="Arial"/>
                <w:i/>
                <w:sz w:val="20"/>
                <w:szCs w:val="20"/>
              </w:rPr>
              <w:t>”</w:t>
            </w:r>
            <w:r w:rsidR="0075300A">
              <w:rPr>
                <w:rFonts w:ascii="Arial" w:hAnsi="Arial" w:cs="Arial"/>
                <w:i/>
                <w:sz w:val="20"/>
                <w:szCs w:val="20"/>
              </w:rPr>
              <w:t xml:space="preserve"> </w:t>
            </w:r>
            <w:r w:rsidR="0075300A" w:rsidRPr="0075300A">
              <w:rPr>
                <w:rFonts w:ascii="Arial" w:hAnsi="Arial" w:cs="Arial"/>
                <w:sz w:val="20"/>
                <w:szCs w:val="20"/>
              </w:rPr>
              <w:t>(see the link to the document under 1/A).</w:t>
            </w:r>
          </w:p>
        </w:tc>
      </w:tr>
      <w:tr w:rsidR="007B7C69" w:rsidRPr="00C3537E" w14:paraId="2659C3FA" w14:textId="77777777" w:rsidTr="00F87CF4">
        <w:tblPrEx>
          <w:shd w:val="clear" w:color="auto" w:fill="auto"/>
        </w:tblPrEx>
        <w:tc>
          <w:tcPr>
            <w:tcW w:w="3440" w:type="dxa"/>
            <w:tcBorders>
              <w:left w:val="nil"/>
            </w:tcBorders>
            <w:shd w:val="clear" w:color="auto" w:fill="F3DFC3"/>
          </w:tcPr>
          <w:p w14:paraId="6975324A"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Does your jurisdiction offer full leniency as well as partial leniency (i.e. reduction in the sanction / fine), depending on the case?</w:t>
            </w:r>
          </w:p>
        </w:tc>
        <w:tc>
          <w:tcPr>
            <w:tcW w:w="5822" w:type="dxa"/>
            <w:tcBorders>
              <w:right w:val="nil"/>
            </w:tcBorders>
          </w:tcPr>
          <w:p w14:paraId="50173BB1" w14:textId="77777777" w:rsidR="007B7C69" w:rsidRPr="00C3537E" w:rsidRDefault="00E25872" w:rsidP="00E25872">
            <w:pPr>
              <w:spacing w:before="120"/>
              <w:jc w:val="both"/>
              <w:rPr>
                <w:rFonts w:ascii="Arial" w:hAnsi="Arial" w:cs="Arial"/>
                <w:sz w:val="20"/>
                <w:lang w:val="en-GB"/>
              </w:rPr>
            </w:pPr>
            <w:r w:rsidRPr="007A7676">
              <w:rPr>
                <w:rFonts w:ascii="Arial" w:hAnsi="Arial" w:cs="Arial"/>
                <w:sz w:val="20"/>
                <w:szCs w:val="20"/>
                <w:lang w:val="en-GB"/>
              </w:rPr>
              <w:t xml:space="preserve">Yes, it does. According to Articles </w:t>
            </w:r>
            <w:r>
              <w:rPr>
                <w:rFonts w:ascii="Arial" w:hAnsi="Arial" w:cs="Arial"/>
                <w:sz w:val="20"/>
                <w:szCs w:val="20"/>
                <w:lang w:val="en-GB"/>
              </w:rPr>
              <w:t>2.2.2.29.2.2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Pr="007A7676">
              <w:rPr>
                <w:rFonts w:ascii="Arial" w:hAnsi="Arial" w:cs="Arial"/>
                <w:sz w:val="20"/>
                <w:szCs w:val="20"/>
                <w:lang w:val="en-GB"/>
              </w:rPr>
              <w:t xml:space="preserve">, the Superintendence </w:t>
            </w:r>
            <w:r>
              <w:rPr>
                <w:rFonts w:ascii="Arial" w:hAnsi="Arial" w:cs="Arial"/>
                <w:sz w:val="20"/>
                <w:szCs w:val="20"/>
                <w:lang w:val="en-GB"/>
              </w:rPr>
              <w:t xml:space="preserve">is </w:t>
            </w:r>
            <w:r w:rsidRPr="007A7676">
              <w:rPr>
                <w:rFonts w:ascii="Arial" w:hAnsi="Arial" w:cs="Arial"/>
                <w:sz w:val="20"/>
                <w:szCs w:val="20"/>
                <w:lang w:val="en-GB"/>
              </w:rPr>
              <w:t xml:space="preserve">able to award both: full </w:t>
            </w:r>
            <w:r w:rsidR="00F3358A">
              <w:rPr>
                <w:rFonts w:ascii="Arial" w:hAnsi="Arial" w:cs="Arial"/>
                <w:sz w:val="20"/>
                <w:szCs w:val="20"/>
                <w:lang w:val="en-GB"/>
              </w:rPr>
              <w:t>or</w:t>
            </w:r>
            <w:r w:rsidRPr="007A7676">
              <w:rPr>
                <w:rFonts w:ascii="Arial" w:hAnsi="Arial" w:cs="Arial"/>
                <w:sz w:val="20"/>
                <w:szCs w:val="20"/>
                <w:lang w:val="en-GB"/>
              </w:rPr>
              <w:t xml:space="preserve"> partial leniency, depending on certain conditions.</w:t>
            </w:r>
          </w:p>
        </w:tc>
      </w:tr>
      <w:tr w:rsidR="007B7C69" w:rsidRPr="00C3537E" w14:paraId="3F03B917" w14:textId="77777777" w:rsidTr="00F87CF4">
        <w:tblPrEx>
          <w:shd w:val="clear" w:color="auto" w:fill="auto"/>
        </w:tblPrEx>
        <w:tc>
          <w:tcPr>
            <w:tcW w:w="3440" w:type="dxa"/>
            <w:tcBorders>
              <w:left w:val="nil"/>
            </w:tcBorders>
            <w:shd w:val="clear" w:color="auto" w:fill="F3DFC3"/>
          </w:tcPr>
          <w:p w14:paraId="5CC01D05"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lastRenderedPageBreak/>
              <w:t>Who is eligible for full leniency [only for the first one to come forward or for more participants in the cartel]?</w:t>
            </w:r>
          </w:p>
        </w:tc>
        <w:tc>
          <w:tcPr>
            <w:tcW w:w="5822" w:type="dxa"/>
            <w:tcBorders>
              <w:right w:val="nil"/>
            </w:tcBorders>
          </w:tcPr>
          <w:p w14:paraId="5126226E" w14:textId="77777777" w:rsidR="007B7C69" w:rsidRPr="00C3537E" w:rsidRDefault="00E25872" w:rsidP="004C1048">
            <w:pPr>
              <w:spacing w:before="120"/>
              <w:jc w:val="both"/>
              <w:rPr>
                <w:rFonts w:ascii="Arial" w:hAnsi="Arial" w:cs="Arial"/>
                <w:sz w:val="20"/>
                <w:lang w:val="en-GB"/>
              </w:rPr>
            </w:pPr>
            <w:r w:rsidRPr="007A7676">
              <w:rPr>
                <w:rFonts w:ascii="Arial" w:hAnsi="Arial" w:cs="Arial"/>
                <w:sz w:val="20"/>
                <w:szCs w:val="20"/>
                <w:lang w:val="en-GB"/>
              </w:rPr>
              <w:t xml:space="preserve">Article </w:t>
            </w:r>
            <w:r>
              <w:rPr>
                <w:rFonts w:ascii="Arial" w:hAnsi="Arial" w:cs="Arial"/>
                <w:sz w:val="20"/>
                <w:szCs w:val="20"/>
                <w:lang w:val="en-GB"/>
              </w:rPr>
              <w:t>2.2.2.29.2.2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Pr="007A7676">
              <w:rPr>
                <w:rFonts w:ascii="Arial" w:hAnsi="Arial" w:cs="Arial"/>
                <w:sz w:val="20"/>
                <w:szCs w:val="20"/>
                <w:lang w:val="en-GB"/>
              </w:rPr>
              <w:t xml:space="preserve">establishes that full leniency </w:t>
            </w:r>
            <w:r>
              <w:rPr>
                <w:rFonts w:ascii="Arial" w:hAnsi="Arial" w:cs="Arial"/>
                <w:sz w:val="20"/>
                <w:szCs w:val="20"/>
                <w:lang w:val="en-GB"/>
              </w:rPr>
              <w:t>will</w:t>
            </w:r>
            <w:r w:rsidRPr="007A7676">
              <w:rPr>
                <w:rFonts w:ascii="Arial" w:hAnsi="Arial" w:cs="Arial"/>
                <w:sz w:val="20"/>
                <w:szCs w:val="20"/>
                <w:lang w:val="en-GB"/>
              </w:rPr>
              <w:t xml:space="preserve"> be granted </w:t>
            </w:r>
            <w:r>
              <w:rPr>
                <w:rFonts w:ascii="Arial" w:hAnsi="Arial" w:cs="Arial"/>
                <w:sz w:val="20"/>
                <w:szCs w:val="20"/>
                <w:lang w:val="en-GB"/>
              </w:rPr>
              <w:t>to</w:t>
            </w:r>
            <w:r w:rsidRPr="007A7676">
              <w:rPr>
                <w:rFonts w:ascii="Arial" w:hAnsi="Arial" w:cs="Arial"/>
                <w:sz w:val="20"/>
                <w:szCs w:val="20"/>
                <w:lang w:val="en-GB"/>
              </w:rPr>
              <w:t xml:space="preserve"> the first applicant </w:t>
            </w:r>
            <w:r>
              <w:rPr>
                <w:rFonts w:ascii="Arial" w:hAnsi="Arial" w:cs="Arial"/>
                <w:sz w:val="20"/>
                <w:szCs w:val="20"/>
                <w:lang w:val="en-GB"/>
              </w:rPr>
              <w:t>who comes forward.</w:t>
            </w:r>
          </w:p>
        </w:tc>
      </w:tr>
      <w:tr w:rsidR="007B7C69" w:rsidRPr="00C3537E" w14:paraId="78B8F208" w14:textId="77777777" w:rsidTr="00F87CF4">
        <w:tblPrEx>
          <w:shd w:val="clear" w:color="auto" w:fill="auto"/>
        </w:tblPrEx>
        <w:tc>
          <w:tcPr>
            <w:tcW w:w="3440" w:type="dxa"/>
            <w:tcBorders>
              <w:left w:val="nil"/>
            </w:tcBorders>
            <w:shd w:val="clear" w:color="auto" w:fill="F3DFC3"/>
          </w:tcPr>
          <w:p w14:paraId="0CE08D1D"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Is eligibility for leniency dependent on the enforcing agency having either no knowledge of the cartel or insufficient knowledge of the cartel to initiate an investigation?</w:t>
            </w:r>
          </w:p>
          <w:p w14:paraId="1D923847" w14:textId="77777777" w:rsidR="007B7C69" w:rsidRPr="00C3537E" w:rsidRDefault="007B7C69">
            <w:pPr>
              <w:spacing w:before="120" w:after="120"/>
              <w:ind w:left="360"/>
              <w:rPr>
                <w:rFonts w:ascii="Arial" w:hAnsi="Arial" w:cs="Arial"/>
                <w:b/>
                <w:bCs/>
                <w:sz w:val="20"/>
                <w:lang w:val="en-GB"/>
              </w:rPr>
            </w:pPr>
            <w:r w:rsidRPr="00C3537E">
              <w:rPr>
                <w:rFonts w:ascii="Arial" w:hAnsi="Arial" w:cs="Arial"/>
                <w:b/>
                <w:bCs/>
                <w:sz w:val="20"/>
                <w:lang w:val="en-GB"/>
              </w:rPr>
              <w:t>In this context, is the date (the moment) at which participants in the cartel come forward with information (before or after the opening of an investigation) of any relevance for the outcome of leniency applications?</w:t>
            </w:r>
          </w:p>
        </w:tc>
        <w:tc>
          <w:tcPr>
            <w:tcW w:w="5822" w:type="dxa"/>
            <w:tcBorders>
              <w:right w:val="nil"/>
            </w:tcBorders>
          </w:tcPr>
          <w:p w14:paraId="0D85ABC0" w14:textId="77777777" w:rsidR="00E25872" w:rsidRDefault="00E25872" w:rsidP="00E25872">
            <w:pPr>
              <w:jc w:val="both"/>
              <w:rPr>
                <w:rFonts w:ascii="Arial" w:hAnsi="Arial" w:cs="Arial"/>
                <w:sz w:val="20"/>
                <w:szCs w:val="20"/>
                <w:lang w:val="en-GB"/>
              </w:rPr>
            </w:pPr>
            <w:r>
              <w:rPr>
                <w:rFonts w:ascii="Arial" w:hAnsi="Arial" w:cs="Arial"/>
                <w:sz w:val="20"/>
                <w:szCs w:val="20"/>
                <w:lang w:val="en-GB"/>
              </w:rPr>
              <w:t>There are conditions to define the entry moment to the program</w:t>
            </w:r>
            <w:r w:rsidR="007C523A">
              <w:rPr>
                <w:rFonts w:ascii="Arial" w:hAnsi="Arial" w:cs="Arial"/>
                <w:sz w:val="20"/>
                <w:szCs w:val="20"/>
                <w:lang w:val="en-GB"/>
              </w:rPr>
              <w:t xml:space="preserve"> </w:t>
            </w:r>
            <w:r>
              <w:rPr>
                <w:rFonts w:ascii="Arial" w:hAnsi="Arial" w:cs="Arial"/>
                <w:sz w:val="20"/>
                <w:szCs w:val="20"/>
                <w:lang w:val="en-GB"/>
              </w:rPr>
              <w:t>(Article 2.2.2.29.2.3</w:t>
            </w:r>
            <w:r w:rsidR="007C523A">
              <w:rPr>
                <w:rFonts w:ascii="Arial" w:hAnsi="Arial" w:cs="Arial"/>
                <w:sz w:val="20"/>
                <w:szCs w:val="20"/>
                <w:lang w:val="en-GB"/>
              </w:rPr>
              <w:t xml:space="preserve"> </w:t>
            </w:r>
            <w:r>
              <w:rPr>
                <w:rFonts w:ascii="Arial" w:hAnsi="Arial" w:cs="Arial"/>
                <w:sz w:val="20"/>
                <w:szCs w:val="20"/>
                <w:lang w:val="en-GB"/>
              </w:rPr>
              <w:t>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w:t>
            </w:r>
            <w:r w:rsidRPr="006B73AA">
              <w:rPr>
                <w:rFonts w:ascii="Arial" w:hAnsi="Arial" w:cs="Arial"/>
                <w:sz w:val="20"/>
                <w:szCs w:val="20"/>
                <w:lang w:val="en-GB"/>
              </w:rPr>
              <w:t xml:space="preserve"> which are: </w:t>
            </w:r>
          </w:p>
          <w:p w14:paraId="5C1AA1D1" w14:textId="77777777" w:rsidR="00E25872" w:rsidRPr="006B73AA" w:rsidRDefault="00E25872" w:rsidP="00E25872">
            <w:pPr>
              <w:jc w:val="both"/>
              <w:rPr>
                <w:rFonts w:ascii="Arial" w:hAnsi="Arial" w:cs="Arial"/>
                <w:sz w:val="20"/>
                <w:szCs w:val="20"/>
                <w:lang w:val="en-GB"/>
              </w:rPr>
            </w:pPr>
          </w:p>
          <w:p w14:paraId="04BEAA31" w14:textId="77777777" w:rsidR="00E25872" w:rsidRPr="006B73AA" w:rsidRDefault="00E25872" w:rsidP="00E25872">
            <w:pPr>
              <w:pStyle w:val="Ttulo3"/>
              <w:tabs>
                <w:tab w:val="clear" w:pos="1800"/>
              </w:tabs>
              <w:spacing w:after="0"/>
              <w:ind w:left="228" w:hanging="228"/>
              <w:jc w:val="both"/>
              <w:rPr>
                <w:rFonts w:ascii="Arial" w:hAnsi="Arial" w:cs="Arial"/>
                <w:sz w:val="20"/>
                <w:lang w:val="en-GB"/>
              </w:rPr>
            </w:pPr>
            <w:r>
              <w:rPr>
                <w:rFonts w:ascii="Arial" w:hAnsi="Arial" w:cs="Arial"/>
                <w:sz w:val="20"/>
              </w:rPr>
              <w:t>To accept the</w:t>
            </w:r>
            <w:r w:rsidRPr="006B73AA">
              <w:rPr>
                <w:rFonts w:ascii="Arial" w:hAnsi="Arial" w:cs="Arial"/>
                <w:sz w:val="20"/>
              </w:rPr>
              <w:t xml:space="preserve"> participation in a restrictive agreement.</w:t>
            </w:r>
          </w:p>
          <w:p w14:paraId="2193D66C" w14:textId="77777777" w:rsidR="00E25872" w:rsidRDefault="00E25872" w:rsidP="00E25872">
            <w:pPr>
              <w:pStyle w:val="Ttulo3"/>
              <w:tabs>
                <w:tab w:val="clear" w:pos="1800"/>
              </w:tabs>
              <w:spacing w:after="0"/>
              <w:ind w:left="228" w:hanging="228"/>
              <w:jc w:val="both"/>
              <w:rPr>
                <w:rFonts w:ascii="Arial" w:hAnsi="Arial" w:cs="Arial"/>
                <w:sz w:val="20"/>
              </w:rPr>
            </w:pPr>
            <w:r>
              <w:rPr>
                <w:rFonts w:ascii="Arial" w:hAnsi="Arial" w:cs="Arial"/>
                <w:sz w:val="20"/>
              </w:rPr>
              <w:t>To provide, at least,</w:t>
            </w:r>
            <w:r w:rsidRPr="006B73AA">
              <w:rPr>
                <w:rFonts w:ascii="Arial" w:hAnsi="Arial" w:cs="Arial"/>
                <w:sz w:val="20"/>
              </w:rPr>
              <w:t xml:space="preserve"> briefly information about the existence of the agreement, its operation, the product(s) involve</w:t>
            </w:r>
            <w:r>
              <w:rPr>
                <w:rFonts w:ascii="Arial" w:hAnsi="Arial" w:cs="Arial"/>
                <w:sz w:val="20"/>
              </w:rPr>
              <w:t>d</w:t>
            </w:r>
            <w:r w:rsidRPr="006B73AA">
              <w:rPr>
                <w:rFonts w:ascii="Arial" w:hAnsi="Arial" w:cs="Arial"/>
                <w:sz w:val="20"/>
              </w:rPr>
              <w:t xml:space="preserve"> in it and the participants.</w:t>
            </w:r>
          </w:p>
          <w:p w14:paraId="3F959EB0" w14:textId="77777777" w:rsidR="00E25872" w:rsidRPr="003B484B" w:rsidRDefault="00E25872" w:rsidP="00E25872">
            <w:pPr>
              <w:pStyle w:val="Textoindependiente"/>
              <w:jc w:val="both"/>
              <w:rPr>
                <w:rFonts w:ascii="Arial" w:hAnsi="Arial" w:cs="Arial"/>
                <w:sz w:val="20"/>
              </w:rPr>
            </w:pPr>
          </w:p>
          <w:p w14:paraId="69F59B47" w14:textId="77777777" w:rsidR="00E25872" w:rsidRDefault="00E25872" w:rsidP="00E25872">
            <w:pPr>
              <w:pStyle w:val="Textoindependiente"/>
              <w:ind w:left="0"/>
              <w:jc w:val="both"/>
              <w:rPr>
                <w:rFonts w:ascii="Arial" w:hAnsi="Arial" w:cs="Arial"/>
                <w:sz w:val="20"/>
              </w:rPr>
            </w:pPr>
            <w:r>
              <w:rPr>
                <w:rFonts w:ascii="Arial" w:hAnsi="Arial" w:cs="Arial"/>
                <w:sz w:val="20"/>
              </w:rPr>
              <w:t>Anyone wishing to be part of a leniency program can do so regarding an</w:t>
            </w:r>
            <w:r w:rsidRPr="003B484B">
              <w:rPr>
                <w:rFonts w:ascii="Arial" w:hAnsi="Arial" w:cs="Arial"/>
                <w:sz w:val="20"/>
              </w:rPr>
              <w:t xml:space="preserve"> unknown </w:t>
            </w:r>
            <w:r>
              <w:rPr>
                <w:rFonts w:ascii="Arial" w:hAnsi="Arial" w:cs="Arial"/>
                <w:sz w:val="20"/>
              </w:rPr>
              <w:t xml:space="preserve">cartel </w:t>
            </w:r>
            <w:r w:rsidRPr="003B484B">
              <w:rPr>
                <w:rFonts w:ascii="Arial" w:hAnsi="Arial" w:cs="Arial"/>
                <w:sz w:val="20"/>
              </w:rPr>
              <w:t>by the authority, or in connection with a cart</w:t>
            </w:r>
            <w:r>
              <w:rPr>
                <w:rFonts w:ascii="Arial" w:hAnsi="Arial" w:cs="Arial"/>
                <w:sz w:val="20"/>
              </w:rPr>
              <w:t>el which is under investigation.</w:t>
            </w:r>
          </w:p>
          <w:p w14:paraId="0E52EEBA" w14:textId="77777777" w:rsidR="00E25872" w:rsidRDefault="00E25872" w:rsidP="00E25872">
            <w:pPr>
              <w:pStyle w:val="Ttulo3"/>
              <w:numPr>
                <w:ilvl w:val="0"/>
                <w:numId w:val="0"/>
              </w:numPr>
              <w:spacing w:after="0"/>
              <w:jc w:val="both"/>
              <w:rPr>
                <w:rFonts w:ascii="Arial" w:hAnsi="Arial" w:cs="Arial"/>
                <w:bCs/>
                <w:sz w:val="20"/>
                <w:lang w:val="hu-HU"/>
              </w:rPr>
            </w:pPr>
            <w:r w:rsidRPr="002A5792">
              <w:rPr>
                <w:rFonts w:ascii="Arial" w:hAnsi="Arial" w:cs="Arial"/>
                <w:sz w:val="20"/>
                <w:lang w:val="en-GB"/>
              </w:rPr>
              <w:t>The</w:t>
            </w:r>
            <w:r>
              <w:rPr>
                <w:rFonts w:ascii="Arial" w:hAnsi="Arial" w:cs="Arial"/>
                <w:sz w:val="20"/>
                <w:lang w:val="en-GB"/>
              </w:rPr>
              <w:t>re are also conditions to subscribe the convention to receive benefits for collaboration (article</w:t>
            </w:r>
            <w:r w:rsidRPr="002A5792">
              <w:rPr>
                <w:rFonts w:ascii="Arial" w:hAnsi="Arial" w:cs="Arial"/>
                <w:b/>
                <w:bCs/>
                <w:sz w:val="20"/>
                <w:lang w:val="hu-HU"/>
              </w:rPr>
              <w:t> </w:t>
            </w:r>
            <w:r w:rsidRPr="002A5792">
              <w:rPr>
                <w:rFonts w:ascii="Arial" w:hAnsi="Arial" w:cs="Arial"/>
                <w:bCs/>
                <w:sz w:val="20"/>
                <w:lang w:val="hu-HU"/>
              </w:rPr>
              <w:t>2.2.2.29.2.6</w:t>
            </w:r>
            <w:r w:rsidR="007C523A">
              <w:rPr>
                <w:rFonts w:ascii="Arial" w:hAnsi="Arial" w:cs="Arial"/>
                <w:bCs/>
                <w:sz w:val="20"/>
                <w:lang w:val="hu-HU"/>
              </w:rPr>
              <w:t xml:space="preserve"> </w:t>
            </w:r>
            <w:r>
              <w:rPr>
                <w:rFonts w:ascii="Arial" w:hAnsi="Arial" w:cs="Arial"/>
                <w:sz w:val="20"/>
                <w:lang w:val="en-GB"/>
              </w:rPr>
              <w:t>of</w:t>
            </w:r>
            <w:r w:rsidRPr="007A7676">
              <w:rPr>
                <w:rFonts w:ascii="Arial" w:hAnsi="Arial" w:cs="Arial"/>
                <w:sz w:val="20"/>
                <w:lang w:val="en-GB"/>
              </w:rPr>
              <w:t xml:space="preserve"> Decree </w:t>
            </w:r>
            <w:r>
              <w:rPr>
                <w:rFonts w:ascii="Arial" w:hAnsi="Arial" w:cs="Arial"/>
                <w:sz w:val="20"/>
                <w:lang w:val="en-GB"/>
              </w:rPr>
              <w:t xml:space="preserve">1523 </w:t>
            </w:r>
            <w:r w:rsidRPr="006814A6">
              <w:rPr>
                <w:rFonts w:ascii="Arial" w:hAnsi="Arial" w:cs="Arial"/>
                <w:sz w:val="20"/>
                <w:lang w:val="en-GB"/>
              </w:rPr>
              <w:t>of 2015</w:t>
            </w:r>
            <w:r>
              <w:rPr>
                <w:rFonts w:ascii="Arial" w:hAnsi="Arial" w:cs="Arial"/>
                <w:bCs/>
                <w:sz w:val="20"/>
                <w:lang w:val="hu-HU"/>
              </w:rPr>
              <w:t>), which are</w:t>
            </w:r>
          </w:p>
          <w:p w14:paraId="1E9D19AF" w14:textId="77777777" w:rsidR="00E25872" w:rsidRDefault="00E25872" w:rsidP="00E25872">
            <w:pPr>
              <w:pStyle w:val="Ttulo3"/>
              <w:numPr>
                <w:ilvl w:val="0"/>
                <w:numId w:val="0"/>
              </w:numPr>
              <w:spacing w:after="0"/>
              <w:jc w:val="both"/>
              <w:rPr>
                <w:rFonts w:ascii="Arial" w:hAnsi="Arial" w:cs="Arial"/>
                <w:bCs/>
                <w:sz w:val="20"/>
                <w:lang w:val="hu-HU"/>
              </w:rPr>
            </w:pPr>
          </w:p>
          <w:p w14:paraId="0BEF0653" w14:textId="77777777" w:rsidR="00E25872" w:rsidRDefault="00E25872" w:rsidP="00E25872">
            <w:pPr>
              <w:pStyle w:val="Ttulo3"/>
              <w:numPr>
                <w:ilvl w:val="0"/>
                <w:numId w:val="0"/>
              </w:numPr>
              <w:spacing w:after="0"/>
              <w:jc w:val="both"/>
              <w:rPr>
                <w:rFonts w:ascii="Arial" w:hAnsi="Arial" w:cs="Arial"/>
                <w:bCs/>
                <w:sz w:val="20"/>
                <w:lang w:val="hu-HU"/>
              </w:rPr>
            </w:pPr>
            <w:r>
              <w:rPr>
                <w:rFonts w:ascii="Arial" w:hAnsi="Arial" w:cs="Arial"/>
                <w:bCs/>
                <w:sz w:val="20"/>
                <w:lang w:val="hu-HU"/>
              </w:rPr>
              <w:t>1. To recognize the participation in the cartel.</w:t>
            </w:r>
          </w:p>
          <w:p w14:paraId="6BD25705" w14:textId="77777777" w:rsidR="00E25872" w:rsidRDefault="00E25872" w:rsidP="00E25872">
            <w:pPr>
              <w:pStyle w:val="Textoindependiente"/>
              <w:spacing w:after="0"/>
              <w:ind w:left="0"/>
              <w:jc w:val="both"/>
              <w:rPr>
                <w:rFonts w:ascii="Arial" w:hAnsi="Arial" w:cs="Arial"/>
                <w:sz w:val="20"/>
                <w:lang w:val="hu-HU"/>
              </w:rPr>
            </w:pPr>
            <w:r w:rsidRPr="00170461">
              <w:rPr>
                <w:rFonts w:ascii="Arial" w:hAnsi="Arial" w:cs="Arial"/>
                <w:sz w:val="20"/>
                <w:lang w:val="hu-HU"/>
              </w:rPr>
              <w:t xml:space="preserve">2. To provide information or useful evidence </w:t>
            </w:r>
            <w:r>
              <w:rPr>
                <w:rFonts w:ascii="Arial" w:hAnsi="Arial" w:cs="Arial"/>
                <w:sz w:val="20"/>
                <w:lang w:val="hu-HU"/>
              </w:rPr>
              <w:t>about</w:t>
            </w:r>
            <w:r w:rsidRPr="00170461">
              <w:rPr>
                <w:rFonts w:ascii="Arial" w:hAnsi="Arial" w:cs="Arial"/>
                <w:sz w:val="20"/>
                <w:lang w:val="hu-HU"/>
              </w:rPr>
              <w:t xml:space="preserve"> the </w:t>
            </w:r>
            <w:r>
              <w:rPr>
                <w:rFonts w:ascii="Arial" w:hAnsi="Arial" w:cs="Arial"/>
                <w:sz w:val="20"/>
                <w:lang w:val="hu-HU"/>
              </w:rPr>
              <w:t xml:space="preserve">existence of the agreement and its operation, including aspects such as objectives, principal activities, funcioning, name of the participants, level of particiation, location, service or product involved, affected geografical area and estimated duration of the agreements informed. </w:t>
            </w:r>
          </w:p>
          <w:p w14:paraId="7F6155D8" w14:textId="77777777" w:rsidR="00E25872" w:rsidRDefault="00E25872" w:rsidP="00E25872">
            <w:pPr>
              <w:pStyle w:val="Textoindependiente"/>
              <w:spacing w:after="0"/>
              <w:ind w:left="0"/>
              <w:jc w:val="both"/>
              <w:rPr>
                <w:rFonts w:ascii="Arial" w:hAnsi="Arial" w:cs="Arial"/>
                <w:sz w:val="20"/>
                <w:lang w:val="hu-HU"/>
              </w:rPr>
            </w:pPr>
            <w:r>
              <w:rPr>
                <w:rFonts w:ascii="Arial" w:hAnsi="Arial" w:cs="Arial"/>
                <w:sz w:val="20"/>
                <w:lang w:val="hu-HU"/>
              </w:rPr>
              <w:t>3. To follow and obey SIC’s requirementes and instructions during the negotiation of the convention.</w:t>
            </w:r>
          </w:p>
          <w:p w14:paraId="54274990" w14:textId="77777777" w:rsidR="00E25872" w:rsidRDefault="00E25872" w:rsidP="00E25872">
            <w:pPr>
              <w:pStyle w:val="Textoindependiente"/>
              <w:spacing w:after="0"/>
              <w:ind w:left="0"/>
              <w:jc w:val="both"/>
              <w:rPr>
                <w:rFonts w:ascii="Arial" w:hAnsi="Arial" w:cs="Arial"/>
                <w:sz w:val="20"/>
                <w:lang w:val="hu-HU"/>
              </w:rPr>
            </w:pPr>
            <w:r>
              <w:rPr>
                <w:rFonts w:ascii="Arial" w:hAnsi="Arial" w:cs="Arial"/>
                <w:sz w:val="20"/>
                <w:lang w:val="hu-HU"/>
              </w:rPr>
              <w:t>4. To finish the participation in the cartel</w:t>
            </w:r>
            <w:r w:rsidR="003E33DE">
              <w:rPr>
                <w:rFonts w:ascii="Arial" w:hAnsi="Arial" w:cs="Arial"/>
                <w:sz w:val="20"/>
                <w:lang w:val="hu-HU"/>
              </w:rPr>
              <w:t xml:space="preserve"> following the indications of the Deputy Superintendent for Competition Protection</w:t>
            </w:r>
            <w:r>
              <w:rPr>
                <w:rFonts w:ascii="Arial" w:hAnsi="Arial" w:cs="Arial"/>
                <w:sz w:val="20"/>
                <w:lang w:val="hu-HU"/>
              </w:rPr>
              <w:t xml:space="preserve">.  </w:t>
            </w:r>
          </w:p>
          <w:p w14:paraId="023DEA2A" w14:textId="77777777" w:rsidR="00E25872" w:rsidRDefault="00E25872" w:rsidP="00E25872">
            <w:pPr>
              <w:pStyle w:val="Ttulo3"/>
              <w:numPr>
                <w:ilvl w:val="0"/>
                <w:numId w:val="0"/>
              </w:numPr>
              <w:spacing w:after="0"/>
              <w:jc w:val="both"/>
              <w:rPr>
                <w:rFonts w:ascii="Arial" w:hAnsi="Arial" w:cs="Arial"/>
                <w:sz w:val="20"/>
                <w:lang w:val="en-GB"/>
              </w:rPr>
            </w:pPr>
          </w:p>
          <w:p w14:paraId="1C4D005D" w14:textId="77777777" w:rsidR="00E25872" w:rsidRPr="007F1C83" w:rsidRDefault="00E25872" w:rsidP="00E25872">
            <w:pPr>
              <w:pStyle w:val="Ttulo3"/>
              <w:numPr>
                <w:ilvl w:val="0"/>
                <w:numId w:val="0"/>
              </w:numPr>
              <w:spacing w:after="0"/>
              <w:jc w:val="both"/>
              <w:rPr>
                <w:rFonts w:ascii="Arial" w:hAnsi="Arial" w:cs="Arial"/>
                <w:sz w:val="20"/>
              </w:rPr>
            </w:pPr>
            <w:r>
              <w:rPr>
                <w:rFonts w:ascii="Arial" w:hAnsi="Arial" w:cs="Arial"/>
                <w:sz w:val="20"/>
                <w:lang w:val="en-GB"/>
              </w:rPr>
              <w:t>The</w:t>
            </w:r>
            <w:r w:rsidRPr="002A5792">
              <w:rPr>
                <w:rFonts w:ascii="Arial" w:hAnsi="Arial" w:cs="Arial"/>
                <w:sz w:val="20"/>
                <w:lang w:val="en-GB"/>
              </w:rPr>
              <w:t xml:space="preserve"> opportunity </w:t>
            </w:r>
            <w:r w:rsidR="003E33DE">
              <w:rPr>
                <w:rFonts w:ascii="Arial" w:hAnsi="Arial" w:cs="Arial"/>
                <w:sz w:val="20"/>
                <w:lang w:val="en-GB"/>
              </w:rPr>
              <w:t xml:space="preserve">(deadline) </w:t>
            </w:r>
            <w:r w:rsidRPr="002A5792">
              <w:rPr>
                <w:rFonts w:ascii="Arial" w:hAnsi="Arial" w:cs="Arial"/>
                <w:sz w:val="20"/>
                <w:lang w:val="en-GB"/>
              </w:rPr>
              <w:t xml:space="preserve">to submit the application to the program is after an investigation has been opened and before the end of the 20 days given to the offender to provide or request evidence of the commission of the presumed infraction. </w:t>
            </w:r>
          </w:p>
          <w:p w14:paraId="51139E9E" w14:textId="77777777" w:rsidR="007B7C69" w:rsidRPr="00C3537E" w:rsidRDefault="007B7C69">
            <w:pPr>
              <w:spacing w:before="120"/>
              <w:rPr>
                <w:rFonts w:ascii="Arial" w:hAnsi="Arial" w:cs="Arial"/>
                <w:sz w:val="20"/>
                <w:lang w:val="en-GB"/>
              </w:rPr>
            </w:pPr>
          </w:p>
        </w:tc>
      </w:tr>
      <w:tr w:rsidR="007B7C69" w:rsidRPr="00C3537E" w14:paraId="4B67BCE5" w14:textId="77777777" w:rsidTr="00F87CF4">
        <w:tblPrEx>
          <w:shd w:val="clear" w:color="auto" w:fill="auto"/>
        </w:tblPrEx>
        <w:tc>
          <w:tcPr>
            <w:tcW w:w="3440" w:type="dxa"/>
            <w:tcBorders>
              <w:left w:val="nil"/>
            </w:tcBorders>
            <w:shd w:val="clear" w:color="auto" w:fill="F3DFC3"/>
          </w:tcPr>
          <w:p w14:paraId="6A2A068E"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Who can be a beneficiary of the leniency program (individual / businesses)?</w:t>
            </w:r>
          </w:p>
        </w:tc>
        <w:tc>
          <w:tcPr>
            <w:tcW w:w="5822" w:type="dxa"/>
            <w:tcBorders>
              <w:right w:val="nil"/>
            </w:tcBorders>
          </w:tcPr>
          <w:p w14:paraId="694A53EB"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According to Article 2.2.2.29.1.1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the Superintendence of Industry and Commerce can award </w:t>
            </w:r>
            <w:r w:rsidRPr="00B41A1A">
              <w:rPr>
                <w:rFonts w:ascii="Arial" w:hAnsi="Arial" w:cs="Arial"/>
                <w:sz w:val="20"/>
                <w:szCs w:val="20"/>
                <w:lang w:val="en-GB"/>
              </w:rPr>
              <w:t xml:space="preserve">benefits to natural or legal persons who have participated as market agents or facilitator in a restrictive agreement. </w:t>
            </w:r>
          </w:p>
          <w:p w14:paraId="63825282" w14:textId="77777777" w:rsidR="003E33DE" w:rsidRPr="00B41A1A" w:rsidRDefault="003E33DE" w:rsidP="002B3442">
            <w:pPr>
              <w:spacing w:before="120"/>
              <w:jc w:val="both"/>
              <w:rPr>
                <w:rFonts w:ascii="Arial" w:hAnsi="Arial" w:cs="Arial"/>
                <w:sz w:val="20"/>
                <w:szCs w:val="20"/>
                <w:lang w:val="en-GB"/>
              </w:rPr>
            </w:pPr>
            <w:r>
              <w:rPr>
                <w:rFonts w:ascii="Arial" w:hAnsi="Arial" w:cs="Arial"/>
                <w:sz w:val="20"/>
                <w:szCs w:val="20"/>
                <w:lang w:val="en-GB"/>
              </w:rPr>
              <w:t xml:space="preserve">It is important to clarify that the leninecy program in Colombia is not only designed for natural or legal persons involved in an anticompetitive agreement. It is also extended to any anticompetitive conduct and in particular, in an abuse of dominance case, only the natural person could received the benefits of a leniency application. </w:t>
            </w:r>
          </w:p>
          <w:p w14:paraId="19A433E6" w14:textId="77777777" w:rsidR="007B7C69" w:rsidRPr="00C3537E" w:rsidRDefault="002B3442" w:rsidP="002B3442">
            <w:pPr>
              <w:spacing w:before="120"/>
              <w:rPr>
                <w:rFonts w:ascii="Arial" w:hAnsi="Arial" w:cs="Arial"/>
                <w:sz w:val="20"/>
                <w:lang w:val="en-GB"/>
              </w:rPr>
            </w:pPr>
            <w:r w:rsidRPr="00B41A1A">
              <w:rPr>
                <w:rFonts w:ascii="Arial" w:hAnsi="Arial" w:cs="Arial"/>
                <w:sz w:val="20"/>
                <w:szCs w:val="20"/>
                <w:lang w:val="en-GB"/>
              </w:rPr>
              <w:t>It is important to note that the instigator of an anti-competitive agreement cannot be a beneficiary of the Leniency Program.</w:t>
            </w:r>
          </w:p>
        </w:tc>
      </w:tr>
      <w:tr w:rsidR="007B7C69" w:rsidRPr="00C3537E" w14:paraId="594331E9" w14:textId="77777777" w:rsidTr="00F87CF4">
        <w:tblPrEx>
          <w:shd w:val="clear" w:color="auto" w:fill="auto"/>
        </w:tblPrEx>
        <w:tc>
          <w:tcPr>
            <w:tcW w:w="3440" w:type="dxa"/>
            <w:tcBorders>
              <w:left w:val="nil"/>
              <w:bottom w:val="single" w:sz="4" w:space="0" w:color="auto"/>
            </w:tcBorders>
            <w:shd w:val="clear" w:color="auto" w:fill="F3DFC3"/>
          </w:tcPr>
          <w:p w14:paraId="65C67BD3"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 xml:space="preserve">What are the conditions of availability of full leniency: [e.g. provide decisive evidence, maintain </w:t>
            </w:r>
            <w:r w:rsidRPr="00C3537E">
              <w:rPr>
                <w:rFonts w:ascii="Arial" w:hAnsi="Arial" w:cs="Arial"/>
                <w:b/>
                <w:bCs/>
                <w:sz w:val="20"/>
                <w:lang w:val="en-GB"/>
              </w:rPr>
              <w:lastRenderedPageBreak/>
              <w:t>cooperation throughout, not to be the ringleader, cease the infringement, restitution, etc.]</w:t>
            </w:r>
          </w:p>
        </w:tc>
        <w:tc>
          <w:tcPr>
            <w:tcW w:w="5822" w:type="dxa"/>
            <w:tcBorders>
              <w:right w:val="nil"/>
            </w:tcBorders>
          </w:tcPr>
          <w:p w14:paraId="0A89374E" w14:textId="77777777" w:rsidR="002B3442" w:rsidRDefault="002B3442" w:rsidP="002B3442">
            <w:pPr>
              <w:jc w:val="both"/>
              <w:rPr>
                <w:rFonts w:ascii="Arial" w:hAnsi="Arial" w:cs="Arial"/>
                <w:sz w:val="20"/>
                <w:szCs w:val="20"/>
                <w:lang w:val="en-GB"/>
              </w:rPr>
            </w:pPr>
            <w:r w:rsidRPr="00852A62">
              <w:rPr>
                <w:rFonts w:ascii="Arial" w:hAnsi="Arial" w:cs="Arial"/>
                <w:sz w:val="20"/>
                <w:szCs w:val="20"/>
                <w:lang w:val="en-GB"/>
              </w:rPr>
              <w:lastRenderedPageBreak/>
              <w:t xml:space="preserve">Number 1 of Article </w:t>
            </w:r>
            <w:r w:rsidRPr="00B12A68">
              <w:rPr>
                <w:rFonts w:ascii="Arial" w:hAnsi="Arial" w:cs="Arial"/>
                <w:sz w:val="20"/>
                <w:szCs w:val="20"/>
                <w:lang w:val="en-GB"/>
              </w:rPr>
              <w:t>2.2.2.29.2.</w:t>
            </w:r>
            <w:r>
              <w:rPr>
                <w:rFonts w:ascii="Arial" w:hAnsi="Arial" w:cs="Arial"/>
                <w:sz w:val="20"/>
                <w:szCs w:val="20"/>
                <w:lang w:val="en-GB"/>
              </w:rPr>
              <w:t>3.</w:t>
            </w:r>
            <w:r w:rsidR="0075300A">
              <w:rPr>
                <w:rFonts w:ascii="Arial" w:hAnsi="Arial" w:cs="Arial"/>
                <w:sz w:val="20"/>
                <w:szCs w:val="20"/>
                <w:lang w:val="en-GB"/>
              </w:rPr>
              <w:t xml:space="preserve"> </w:t>
            </w:r>
            <w:r>
              <w:rPr>
                <w:rFonts w:ascii="Arial" w:hAnsi="Arial" w:cs="Arial"/>
                <w:sz w:val="20"/>
                <w:szCs w:val="20"/>
                <w:lang w:val="en-GB"/>
              </w:rPr>
              <w:t>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0075300A">
              <w:rPr>
                <w:rFonts w:ascii="Arial" w:hAnsi="Arial" w:cs="Arial"/>
                <w:sz w:val="20"/>
                <w:szCs w:val="20"/>
                <w:lang w:val="en-GB"/>
              </w:rPr>
              <w:t xml:space="preserve"> </w:t>
            </w:r>
            <w:r w:rsidRPr="00B12A68">
              <w:rPr>
                <w:rFonts w:ascii="Arial" w:hAnsi="Arial" w:cs="Arial"/>
                <w:sz w:val="20"/>
                <w:szCs w:val="20"/>
                <w:lang w:val="en-GB"/>
              </w:rPr>
              <w:t>establishes that the condition</w:t>
            </w:r>
            <w:r w:rsidRPr="0024326D">
              <w:rPr>
                <w:rFonts w:ascii="Arial" w:hAnsi="Arial" w:cs="Arial"/>
                <w:sz w:val="20"/>
                <w:szCs w:val="20"/>
                <w:lang w:val="en-GB"/>
              </w:rPr>
              <w:t xml:space="preserve"> of availability </w:t>
            </w:r>
            <w:r>
              <w:rPr>
                <w:rFonts w:ascii="Arial" w:hAnsi="Arial" w:cs="Arial"/>
                <w:sz w:val="20"/>
                <w:szCs w:val="20"/>
                <w:lang w:val="en-GB"/>
              </w:rPr>
              <w:t>for</w:t>
            </w:r>
            <w:r w:rsidRPr="00852A62">
              <w:rPr>
                <w:rFonts w:ascii="Arial" w:hAnsi="Arial" w:cs="Arial"/>
                <w:sz w:val="20"/>
                <w:szCs w:val="20"/>
                <w:lang w:val="en-GB"/>
              </w:rPr>
              <w:t xml:space="preserve"> full leniency for a natural or legal person </w:t>
            </w:r>
            <w:r w:rsidRPr="0024326D">
              <w:rPr>
                <w:rFonts w:ascii="Arial" w:hAnsi="Arial" w:cs="Arial"/>
                <w:sz w:val="20"/>
                <w:szCs w:val="20"/>
                <w:lang w:val="en-GB"/>
              </w:rPr>
              <w:t xml:space="preserve">is to be </w:t>
            </w:r>
            <w:r w:rsidRPr="007F1C83">
              <w:rPr>
                <w:rFonts w:ascii="Arial" w:hAnsi="Arial" w:cs="Arial"/>
                <w:sz w:val="20"/>
                <w:szCs w:val="20"/>
                <w:u w:val="single"/>
                <w:lang w:val="en-GB"/>
              </w:rPr>
              <w:t>the first one</w:t>
            </w:r>
            <w:r w:rsidRPr="0024326D">
              <w:rPr>
                <w:rFonts w:ascii="Arial" w:hAnsi="Arial" w:cs="Arial"/>
                <w:sz w:val="20"/>
                <w:szCs w:val="20"/>
                <w:lang w:val="en-GB"/>
              </w:rPr>
              <w:t xml:space="preserve"> in</w:t>
            </w:r>
            <w:r w:rsidRPr="006B73AA">
              <w:rPr>
                <w:rFonts w:ascii="Arial" w:hAnsi="Arial" w:cs="Arial"/>
                <w:sz w:val="20"/>
                <w:szCs w:val="20"/>
                <w:lang w:val="en-GB"/>
              </w:rPr>
              <w:t xml:space="preserve"> fulfil</w:t>
            </w:r>
            <w:r>
              <w:rPr>
                <w:rFonts w:ascii="Arial" w:hAnsi="Arial" w:cs="Arial"/>
                <w:sz w:val="20"/>
                <w:szCs w:val="20"/>
                <w:lang w:val="en-GB"/>
              </w:rPr>
              <w:t>ling</w:t>
            </w:r>
            <w:r w:rsidRPr="006B73AA">
              <w:rPr>
                <w:rFonts w:ascii="Arial" w:hAnsi="Arial" w:cs="Arial"/>
                <w:sz w:val="20"/>
                <w:szCs w:val="20"/>
                <w:lang w:val="en-GB"/>
              </w:rPr>
              <w:t xml:space="preserve"> the entrance requirements to the P</w:t>
            </w:r>
            <w:r>
              <w:rPr>
                <w:rFonts w:ascii="Arial" w:hAnsi="Arial" w:cs="Arial"/>
                <w:sz w:val="20"/>
                <w:szCs w:val="20"/>
                <w:lang w:val="en-GB"/>
              </w:rPr>
              <w:t>rogram, which are the following:</w:t>
            </w:r>
          </w:p>
          <w:p w14:paraId="4D1B6328" w14:textId="77777777" w:rsidR="002B3442" w:rsidRDefault="002B3442" w:rsidP="002B3442">
            <w:pPr>
              <w:jc w:val="both"/>
              <w:rPr>
                <w:rFonts w:ascii="Arial" w:hAnsi="Arial" w:cs="Arial"/>
                <w:sz w:val="20"/>
                <w:szCs w:val="20"/>
                <w:lang w:val="en-GB"/>
              </w:rPr>
            </w:pPr>
          </w:p>
          <w:p w14:paraId="2EB7DBBC" w14:textId="77777777" w:rsidR="002B3442" w:rsidRDefault="002B3442" w:rsidP="002B3442">
            <w:pPr>
              <w:jc w:val="both"/>
              <w:rPr>
                <w:rFonts w:ascii="Arial" w:hAnsi="Arial" w:cs="Arial"/>
                <w:sz w:val="20"/>
              </w:rPr>
            </w:pPr>
            <w:r>
              <w:rPr>
                <w:rFonts w:ascii="Arial" w:hAnsi="Arial" w:cs="Arial"/>
                <w:sz w:val="20"/>
                <w:szCs w:val="20"/>
                <w:lang w:val="en-GB"/>
              </w:rPr>
              <w:t xml:space="preserve">1. </w:t>
            </w:r>
            <w:r>
              <w:rPr>
                <w:rFonts w:ascii="Arial" w:hAnsi="Arial" w:cs="Arial"/>
                <w:sz w:val="20"/>
              </w:rPr>
              <w:t>Recognizethe participation in the</w:t>
            </w:r>
            <w:r w:rsidRPr="007F1C83">
              <w:rPr>
                <w:rFonts w:ascii="Arial" w:hAnsi="Arial" w:cs="Arial"/>
                <w:sz w:val="20"/>
              </w:rPr>
              <w:t xml:space="preserve"> restrictive agreement. </w:t>
            </w:r>
          </w:p>
          <w:p w14:paraId="5E758BD8" w14:textId="77777777" w:rsidR="002B3442" w:rsidRDefault="002B3442" w:rsidP="002B3442">
            <w:pPr>
              <w:spacing w:before="120"/>
              <w:jc w:val="both"/>
              <w:rPr>
                <w:rFonts w:ascii="Arial" w:hAnsi="Arial" w:cs="Arial"/>
                <w:sz w:val="20"/>
              </w:rPr>
            </w:pPr>
            <w:r>
              <w:rPr>
                <w:rFonts w:ascii="Arial" w:hAnsi="Arial" w:cs="Arial"/>
                <w:sz w:val="20"/>
              </w:rPr>
              <w:t xml:space="preserve">2. </w:t>
            </w:r>
            <w:r w:rsidRPr="007F1C83">
              <w:rPr>
                <w:rFonts w:ascii="Arial" w:hAnsi="Arial" w:cs="Arial"/>
                <w:sz w:val="20"/>
              </w:rPr>
              <w:t>At least provide briefly information about the existence of the agreement, its operation, the product(s) involve in it and the participants.</w:t>
            </w:r>
          </w:p>
          <w:p w14:paraId="5E82C16C" w14:textId="77777777" w:rsidR="007B7C69" w:rsidRPr="00C3537E" w:rsidRDefault="002B3442" w:rsidP="002B3442">
            <w:pPr>
              <w:spacing w:before="120"/>
              <w:rPr>
                <w:rFonts w:ascii="Arial" w:hAnsi="Arial" w:cs="Arial"/>
                <w:sz w:val="20"/>
                <w:lang w:val="en-GB"/>
              </w:rPr>
            </w:pPr>
            <w:r>
              <w:rPr>
                <w:rFonts w:ascii="Arial" w:hAnsi="Arial" w:cs="Arial"/>
                <w:sz w:val="20"/>
                <w:szCs w:val="20"/>
                <w:lang w:val="en-GB"/>
              </w:rPr>
              <w:t>Our law prohibits</w:t>
            </w:r>
            <w:r w:rsidR="0075300A">
              <w:rPr>
                <w:rFonts w:ascii="Arial" w:hAnsi="Arial" w:cs="Arial"/>
                <w:sz w:val="20"/>
                <w:szCs w:val="20"/>
                <w:lang w:val="en-GB"/>
              </w:rPr>
              <w:t xml:space="preserve"> </w:t>
            </w:r>
            <w:r>
              <w:rPr>
                <w:rFonts w:ascii="Arial" w:hAnsi="Arial" w:cs="Arial"/>
                <w:sz w:val="20"/>
                <w:szCs w:val="20"/>
                <w:lang w:val="en-GB"/>
              </w:rPr>
              <w:t xml:space="preserve">to grant any type of benefits </w:t>
            </w:r>
            <w:r w:rsidRPr="003B484B">
              <w:rPr>
                <w:rFonts w:ascii="Arial" w:hAnsi="Arial" w:cs="Arial"/>
                <w:sz w:val="20"/>
                <w:szCs w:val="20"/>
                <w:lang w:val="en-GB"/>
              </w:rPr>
              <w:t>to the institutor or promoter of the conduct</w:t>
            </w:r>
            <w:r>
              <w:rPr>
                <w:rFonts w:ascii="Arial" w:hAnsi="Arial" w:cs="Arial"/>
                <w:sz w:val="20"/>
                <w:szCs w:val="20"/>
                <w:lang w:val="en-GB"/>
              </w:rPr>
              <w:t xml:space="preserve"> (ringleader).</w:t>
            </w:r>
          </w:p>
        </w:tc>
      </w:tr>
      <w:tr w:rsidR="007B7C69" w:rsidRPr="00C3537E" w14:paraId="58FE5202" w14:textId="77777777" w:rsidTr="00F87CF4">
        <w:tblPrEx>
          <w:shd w:val="clear" w:color="auto" w:fill="auto"/>
        </w:tblPrEx>
        <w:tc>
          <w:tcPr>
            <w:tcW w:w="3440" w:type="dxa"/>
            <w:tcBorders>
              <w:left w:val="nil"/>
            </w:tcBorders>
            <w:shd w:val="clear" w:color="auto" w:fill="F3DFC3"/>
          </w:tcPr>
          <w:p w14:paraId="01DEA425"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lastRenderedPageBreak/>
              <w:t>What are the conditions of availability of partial leniency (such as reduction of sanction / fine / imprisonment): [e.g.: valuable, potential, decisive evidence by witnesses or on basis of written documents, etc.? Must the information be sufficient to lead to an initiation of investigations?]</w:t>
            </w:r>
          </w:p>
        </w:tc>
        <w:tc>
          <w:tcPr>
            <w:tcW w:w="5822" w:type="dxa"/>
            <w:tcBorders>
              <w:right w:val="nil"/>
            </w:tcBorders>
          </w:tcPr>
          <w:p w14:paraId="554BD384" w14:textId="4E75B01C" w:rsidR="007B7C69" w:rsidRPr="00C3537E" w:rsidRDefault="002B3442" w:rsidP="0075300A">
            <w:pPr>
              <w:spacing w:before="120"/>
              <w:jc w:val="both"/>
              <w:rPr>
                <w:rFonts w:ascii="Arial" w:hAnsi="Arial" w:cs="Arial"/>
                <w:sz w:val="20"/>
                <w:lang w:val="en-GB"/>
              </w:rPr>
            </w:pPr>
            <w:r>
              <w:rPr>
                <w:rFonts w:ascii="Arial" w:hAnsi="Arial" w:cs="Arial"/>
                <w:sz w:val="20"/>
                <w:szCs w:val="20"/>
                <w:lang w:val="en-GB"/>
              </w:rPr>
              <w:t>Numbers 2 and 3 of Article 2.2.2.29.2.2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establish that t</w:t>
            </w:r>
            <w:r w:rsidRPr="00E01EE5">
              <w:rPr>
                <w:rFonts w:ascii="Arial" w:hAnsi="Arial" w:cs="Arial"/>
                <w:sz w:val="20"/>
                <w:szCs w:val="20"/>
                <w:lang w:val="en-GB"/>
              </w:rPr>
              <w:t xml:space="preserve">he condition </w:t>
            </w:r>
            <w:r>
              <w:rPr>
                <w:rFonts w:ascii="Arial" w:hAnsi="Arial" w:cs="Arial"/>
                <w:sz w:val="20"/>
                <w:szCs w:val="20"/>
                <w:lang w:val="en-GB"/>
              </w:rPr>
              <w:t>for</w:t>
            </w:r>
            <w:r w:rsidRPr="00E01EE5">
              <w:rPr>
                <w:rFonts w:ascii="Arial" w:hAnsi="Arial" w:cs="Arial"/>
                <w:sz w:val="20"/>
                <w:szCs w:val="20"/>
                <w:lang w:val="en-GB"/>
              </w:rPr>
              <w:t xml:space="preserve"> partial leniency </w:t>
            </w:r>
            <w:r>
              <w:rPr>
                <w:rFonts w:ascii="Arial" w:hAnsi="Arial" w:cs="Arial"/>
                <w:sz w:val="20"/>
                <w:szCs w:val="20"/>
                <w:lang w:val="en-GB"/>
              </w:rPr>
              <w:t xml:space="preserve">is providing useful information or evidence </w:t>
            </w:r>
            <w:r w:rsidRPr="00E01EE5">
              <w:rPr>
                <w:rFonts w:ascii="Arial" w:hAnsi="Arial" w:cs="Arial"/>
                <w:sz w:val="20"/>
              </w:rPr>
              <w:t xml:space="preserve">that adds significant value to the information </w:t>
            </w:r>
            <w:r>
              <w:rPr>
                <w:rFonts w:ascii="Arial" w:hAnsi="Arial" w:cs="Arial"/>
                <w:sz w:val="20"/>
              </w:rPr>
              <w:t xml:space="preserve">that the </w:t>
            </w:r>
            <w:r w:rsidRPr="00E01EE5">
              <w:rPr>
                <w:rFonts w:ascii="Arial" w:hAnsi="Arial" w:cs="Arial"/>
                <w:sz w:val="20"/>
              </w:rPr>
              <w:t>Superintendence already know</w:t>
            </w:r>
            <w:r>
              <w:rPr>
                <w:rFonts w:ascii="Arial" w:hAnsi="Arial" w:cs="Arial"/>
                <w:sz w:val="20"/>
              </w:rPr>
              <w:t>s</w:t>
            </w:r>
            <w:r w:rsidR="0075300A">
              <w:rPr>
                <w:rFonts w:ascii="Arial" w:hAnsi="Arial" w:cs="Arial"/>
                <w:sz w:val="20"/>
              </w:rPr>
              <w:t>, i</w:t>
            </w:r>
            <w:r>
              <w:rPr>
                <w:rFonts w:ascii="Arial" w:hAnsi="Arial" w:cs="Arial"/>
                <w:sz w:val="20"/>
              </w:rPr>
              <w:t>ncluding the information given by other applicants</w:t>
            </w:r>
            <w:r>
              <w:rPr>
                <w:rFonts w:ascii="Arial" w:hAnsi="Arial" w:cs="Arial"/>
                <w:sz w:val="20"/>
                <w:szCs w:val="20"/>
                <w:lang w:val="en-GB"/>
              </w:rPr>
              <w:t>. The degree</w:t>
            </w:r>
            <w:r w:rsidRPr="0065361F">
              <w:rPr>
                <w:rFonts w:ascii="Arial" w:hAnsi="Arial" w:cs="Arial"/>
                <w:sz w:val="20"/>
                <w:szCs w:val="20"/>
                <w:lang w:val="en-GB"/>
              </w:rPr>
              <w:t xml:space="preserve"> of exemption </w:t>
            </w:r>
            <w:r>
              <w:rPr>
                <w:rFonts w:ascii="Arial" w:hAnsi="Arial" w:cs="Arial"/>
                <w:sz w:val="20"/>
                <w:szCs w:val="20"/>
                <w:lang w:val="en-GB"/>
              </w:rPr>
              <w:t>will depend</w:t>
            </w:r>
            <w:r w:rsidRPr="0065361F">
              <w:rPr>
                <w:rFonts w:ascii="Arial" w:hAnsi="Arial" w:cs="Arial"/>
                <w:sz w:val="20"/>
                <w:szCs w:val="20"/>
                <w:lang w:val="en-GB"/>
              </w:rPr>
              <w:t xml:space="preserve"> on the order of arrival to the program</w:t>
            </w:r>
            <w:r>
              <w:rPr>
                <w:rFonts w:ascii="Arial" w:hAnsi="Arial" w:cs="Arial"/>
                <w:sz w:val="20"/>
                <w:szCs w:val="20"/>
                <w:lang w:val="en-GB"/>
              </w:rPr>
              <w:t>.</w:t>
            </w:r>
          </w:p>
        </w:tc>
      </w:tr>
      <w:tr w:rsidR="007B7C69" w:rsidRPr="00C3537E" w14:paraId="6B444919" w14:textId="77777777" w:rsidTr="00F87CF4">
        <w:tblPrEx>
          <w:shd w:val="clear" w:color="auto" w:fill="auto"/>
        </w:tblPrEx>
        <w:tc>
          <w:tcPr>
            <w:tcW w:w="3440" w:type="dxa"/>
            <w:tcBorders>
              <w:left w:val="nil"/>
            </w:tcBorders>
            <w:shd w:val="clear" w:color="auto" w:fill="F3DFC3"/>
          </w:tcPr>
          <w:p w14:paraId="2F9D0C84"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Obligations for the beneficiary after the leniency application has been accepted: [e.g. ongoing, full cooperation with the investigating agency during the proceedings, etc.]</w:t>
            </w:r>
          </w:p>
        </w:tc>
        <w:tc>
          <w:tcPr>
            <w:tcW w:w="5822" w:type="dxa"/>
            <w:tcBorders>
              <w:right w:val="nil"/>
            </w:tcBorders>
          </w:tcPr>
          <w:p w14:paraId="36F5EC1C" w14:textId="77777777" w:rsidR="002B3442" w:rsidRDefault="002B3442" w:rsidP="002B3442">
            <w:pPr>
              <w:jc w:val="both"/>
              <w:rPr>
                <w:rFonts w:ascii="Arial" w:hAnsi="Arial" w:cs="Arial"/>
                <w:sz w:val="20"/>
                <w:szCs w:val="20"/>
                <w:lang w:val="en-GB"/>
              </w:rPr>
            </w:pPr>
            <w:r>
              <w:rPr>
                <w:rFonts w:ascii="Arial" w:hAnsi="Arial" w:cs="Arial"/>
                <w:sz w:val="20"/>
                <w:szCs w:val="20"/>
                <w:lang w:val="en-GB"/>
              </w:rPr>
              <w:t>A</w:t>
            </w:r>
            <w:r w:rsidRPr="006B73AA">
              <w:rPr>
                <w:rFonts w:ascii="Arial" w:hAnsi="Arial" w:cs="Arial"/>
                <w:sz w:val="20"/>
                <w:szCs w:val="20"/>
                <w:lang w:val="en-GB"/>
              </w:rPr>
              <w:t>c</w:t>
            </w:r>
            <w:r>
              <w:rPr>
                <w:rFonts w:ascii="Arial" w:hAnsi="Arial" w:cs="Arial"/>
                <w:sz w:val="20"/>
                <w:szCs w:val="20"/>
                <w:lang w:val="en-GB"/>
              </w:rPr>
              <w:t>cording to Article 2.2.2.29.3.1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Pr="006B73AA">
              <w:rPr>
                <w:rFonts w:ascii="Arial" w:hAnsi="Arial" w:cs="Arial"/>
                <w:sz w:val="20"/>
                <w:szCs w:val="20"/>
                <w:lang w:val="en-GB"/>
              </w:rPr>
              <w:t xml:space="preserve">, the </w:t>
            </w:r>
            <w:r>
              <w:rPr>
                <w:rFonts w:ascii="Arial" w:hAnsi="Arial" w:cs="Arial"/>
                <w:sz w:val="20"/>
                <w:szCs w:val="20"/>
                <w:lang w:val="en-GB"/>
              </w:rPr>
              <w:t>benefits can be eliminated if the applicant</w:t>
            </w:r>
            <w:r w:rsidRPr="006B73AA">
              <w:rPr>
                <w:rFonts w:ascii="Arial" w:hAnsi="Arial" w:cs="Arial"/>
                <w:sz w:val="20"/>
                <w:szCs w:val="20"/>
                <w:lang w:val="en-GB"/>
              </w:rPr>
              <w:t xml:space="preserve">: </w:t>
            </w:r>
          </w:p>
          <w:p w14:paraId="136FC4F1" w14:textId="77777777" w:rsidR="002B3442" w:rsidRDefault="002B3442" w:rsidP="002B3442">
            <w:pPr>
              <w:jc w:val="both"/>
              <w:rPr>
                <w:rFonts w:ascii="Arial" w:hAnsi="Arial" w:cs="Arial"/>
                <w:sz w:val="20"/>
                <w:szCs w:val="20"/>
                <w:lang w:val="en-GB"/>
              </w:rPr>
            </w:pPr>
          </w:p>
          <w:p w14:paraId="41E31210" w14:textId="77777777" w:rsidR="002B3442" w:rsidRDefault="002B3442" w:rsidP="002B3442">
            <w:pPr>
              <w:jc w:val="both"/>
              <w:rPr>
                <w:rFonts w:ascii="Arial" w:hAnsi="Arial" w:cs="Arial"/>
                <w:sz w:val="20"/>
                <w:szCs w:val="20"/>
                <w:lang w:val="en-GB"/>
              </w:rPr>
            </w:pPr>
            <w:r>
              <w:rPr>
                <w:rFonts w:ascii="Arial" w:hAnsi="Arial" w:cs="Arial"/>
                <w:sz w:val="20"/>
                <w:szCs w:val="20"/>
                <w:lang w:val="en-GB"/>
              </w:rPr>
              <w:t xml:space="preserve">1. </w:t>
            </w:r>
            <w:r w:rsidRPr="007F1C83">
              <w:rPr>
                <w:rFonts w:ascii="Arial" w:hAnsi="Arial" w:cs="Arial"/>
                <w:sz w:val="20"/>
                <w:szCs w:val="20"/>
                <w:lang w:val="en-GB"/>
              </w:rPr>
              <w:t>Controvert</w:t>
            </w:r>
            <w:r>
              <w:rPr>
                <w:rFonts w:ascii="Arial" w:hAnsi="Arial" w:cs="Arial"/>
                <w:sz w:val="20"/>
                <w:szCs w:val="20"/>
                <w:lang w:val="en-GB"/>
              </w:rPr>
              <w:t>s,</w:t>
            </w:r>
            <w:r w:rsidRPr="007F1C83">
              <w:rPr>
                <w:rFonts w:ascii="Arial" w:hAnsi="Arial" w:cs="Arial"/>
                <w:sz w:val="20"/>
                <w:szCs w:val="20"/>
                <w:lang w:val="en-GB"/>
              </w:rPr>
              <w:t xml:space="preserve"> in the course of the investigation</w:t>
            </w:r>
            <w:r>
              <w:rPr>
                <w:rFonts w:ascii="Arial" w:hAnsi="Arial" w:cs="Arial"/>
                <w:sz w:val="20"/>
                <w:szCs w:val="20"/>
                <w:lang w:val="en-GB"/>
              </w:rPr>
              <w:t>,</w:t>
            </w:r>
            <w:r w:rsidRPr="007F1C83">
              <w:rPr>
                <w:rFonts w:ascii="Arial" w:hAnsi="Arial" w:cs="Arial"/>
                <w:sz w:val="20"/>
                <w:szCs w:val="20"/>
                <w:lang w:val="en-GB"/>
              </w:rPr>
              <w:t xml:space="preserve"> the facts </w:t>
            </w:r>
            <w:r>
              <w:rPr>
                <w:rFonts w:ascii="Arial" w:hAnsi="Arial" w:cs="Arial"/>
                <w:sz w:val="20"/>
                <w:szCs w:val="20"/>
                <w:lang w:val="en-GB"/>
              </w:rPr>
              <w:t xml:space="preserve">that were already </w:t>
            </w:r>
            <w:r w:rsidRPr="007F1C83">
              <w:rPr>
                <w:rFonts w:ascii="Arial" w:hAnsi="Arial" w:cs="Arial"/>
                <w:sz w:val="20"/>
                <w:szCs w:val="20"/>
                <w:lang w:val="en-GB"/>
              </w:rPr>
              <w:t xml:space="preserve">acknowledged in the </w:t>
            </w:r>
            <w:r>
              <w:rPr>
                <w:rFonts w:ascii="Arial" w:hAnsi="Arial" w:cs="Arial"/>
                <w:sz w:val="20"/>
                <w:szCs w:val="20"/>
                <w:lang w:val="en-GB"/>
              </w:rPr>
              <w:t>application</w:t>
            </w:r>
            <w:r w:rsidR="0075300A">
              <w:rPr>
                <w:rFonts w:ascii="Arial" w:hAnsi="Arial" w:cs="Arial"/>
                <w:sz w:val="20"/>
                <w:szCs w:val="20"/>
                <w:lang w:val="en-GB"/>
              </w:rPr>
              <w:t xml:space="preserve"> </w:t>
            </w:r>
            <w:r>
              <w:rPr>
                <w:rFonts w:ascii="Arial" w:hAnsi="Arial" w:cs="Arial"/>
                <w:sz w:val="20"/>
                <w:szCs w:val="20"/>
                <w:lang w:val="en-GB"/>
              </w:rPr>
              <w:t xml:space="preserve">process. </w:t>
            </w:r>
          </w:p>
          <w:p w14:paraId="3F38D8B6" w14:textId="77777777" w:rsidR="002B3442" w:rsidRDefault="002B3442" w:rsidP="002B3442">
            <w:pPr>
              <w:jc w:val="both"/>
              <w:rPr>
                <w:rFonts w:ascii="Arial" w:hAnsi="Arial" w:cs="Arial"/>
                <w:sz w:val="20"/>
                <w:szCs w:val="20"/>
                <w:lang w:val="en-GB"/>
              </w:rPr>
            </w:pPr>
            <w:r>
              <w:rPr>
                <w:rFonts w:ascii="Arial" w:hAnsi="Arial" w:cs="Arial"/>
                <w:sz w:val="20"/>
                <w:szCs w:val="20"/>
                <w:lang w:val="en-GB"/>
              </w:rPr>
              <w:t xml:space="preserve">2. </w:t>
            </w:r>
            <w:r w:rsidRPr="007F1C83">
              <w:rPr>
                <w:rFonts w:ascii="Arial" w:hAnsi="Arial" w:cs="Arial"/>
                <w:sz w:val="20"/>
                <w:szCs w:val="20"/>
                <w:lang w:val="en-GB"/>
              </w:rPr>
              <w:t xml:space="preserve">Does not </w:t>
            </w:r>
            <w:r>
              <w:rPr>
                <w:rFonts w:ascii="Arial" w:hAnsi="Arial" w:cs="Arial"/>
                <w:sz w:val="20"/>
                <w:szCs w:val="20"/>
                <w:lang w:val="en-GB"/>
              </w:rPr>
              <w:t>facilitate the collection of testimonies</w:t>
            </w:r>
            <w:r w:rsidRPr="007F1C83">
              <w:rPr>
                <w:rFonts w:ascii="Arial" w:hAnsi="Arial" w:cs="Arial"/>
                <w:sz w:val="20"/>
                <w:szCs w:val="20"/>
                <w:lang w:val="en-GB"/>
              </w:rPr>
              <w:t xml:space="preserve"> of </w:t>
            </w:r>
            <w:r>
              <w:rPr>
                <w:rFonts w:ascii="Arial" w:hAnsi="Arial" w:cs="Arial"/>
                <w:sz w:val="20"/>
                <w:szCs w:val="20"/>
                <w:lang w:val="en-GB"/>
              </w:rPr>
              <w:t>his/her</w:t>
            </w:r>
            <w:r w:rsidRPr="007F1C83">
              <w:rPr>
                <w:rFonts w:ascii="Arial" w:hAnsi="Arial" w:cs="Arial"/>
                <w:sz w:val="20"/>
                <w:szCs w:val="20"/>
                <w:lang w:val="en-GB"/>
              </w:rPr>
              <w:t xml:space="preserve"> employees or directors.</w:t>
            </w:r>
          </w:p>
          <w:p w14:paraId="02DEA359" w14:textId="77777777" w:rsidR="002B3442" w:rsidRPr="007F1C83" w:rsidRDefault="002B3442" w:rsidP="002B3442">
            <w:pPr>
              <w:jc w:val="both"/>
              <w:rPr>
                <w:rFonts w:ascii="Arial" w:hAnsi="Arial" w:cs="Arial"/>
                <w:sz w:val="20"/>
                <w:szCs w:val="20"/>
                <w:lang w:val="en-GB"/>
              </w:rPr>
            </w:pPr>
            <w:r>
              <w:rPr>
                <w:rFonts w:ascii="Arial" w:hAnsi="Arial" w:cs="Arial"/>
                <w:sz w:val="20"/>
                <w:szCs w:val="20"/>
                <w:lang w:val="en-GB"/>
              </w:rPr>
              <w:t xml:space="preserve">3. </w:t>
            </w:r>
            <w:r w:rsidRPr="00352C3A">
              <w:rPr>
                <w:rFonts w:ascii="Arial" w:hAnsi="Arial" w:cs="Arial"/>
                <w:sz w:val="20"/>
                <w:szCs w:val="20"/>
                <w:lang w:val="en-GB"/>
              </w:rPr>
              <w:t>Disregard</w:t>
            </w:r>
            <w:r>
              <w:rPr>
                <w:rFonts w:ascii="Arial" w:hAnsi="Arial" w:cs="Arial"/>
                <w:sz w:val="20"/>
                <w:szCs w:val="20"/>
                <w:lang w:val="en-GB"/>
              </w:rPr>
              <w:t>s</w:t>
            </w:r>
            <w:r w:rsidRPr="00352C3A">
              <w:rPr>
                <w:rFonts w:ascii="Arial" w:hAnsi="Arial" w:cs="Arial"/>
                <w:sz w:val="20"/>
                <w:szCs w:val="20"/>
                <w:lang w:val="en-GB"/>
              </w:rPr>
              <w:t xml:space="preserve"> the requirements </w:t>
            </w:r>
            <w:r>
              <w:rPr>
                <w:rFonts w:ascii="Arial" w:hAnsi="Arial" w:cs="Arial"/>
                <w:sz w:val="20"/>
                <w:szCs w:val="20"/>
                <w:lang w:val="en-GB"/>
              </w:rPr>
              <w:t>made by the Superintendence</w:t>
            </w:r>
            <w:r w:rsidR="0075300A">
              <w:rPr>
                <w:rFonts w:ascii="Arial" w:hAnsi="Arial" w:cs="Arial"/>
                <w:sz w:val="20"/>
                <w:szCs w:val="20"/>
                <w:lang w:val="en-GB"/>
              </w:rPr>
              <w:t xml:space="preserve"> </w:t>
            </w:r>
            <w:r>
              <w:rPr>
                <w:rFonts w:ascii="Arial" w:hAnsi="Arial" w:cs="Arial"/>
                <w:sz w:val="20"/>
                <w:szCs w:val="20"/>
                <w:lang w:val="en-GB"/>
              </w:rPr>
              <w:t>for the</w:t>
            </w:r>
            <w:r w:rsidRPr="00352C3A">
              <w:rPr>
                <w:rFonts w:ascii="Arial" w:hAnsi="Arial" w:cs="Arial"/>
                <w:sz w:val="20"/>
                <w:szCs w:val="20"/>
                <w:lang w:val="en-GB"/>
              </w:rPr>
              <w:t xml:space="preserve"> verification or ratification of the information provided and the facts acknowledged.</w:t>
            </w:r>
          </w:p>
          <w:p w14:paraId="322D5005" w14:textId="77777777" w:rsidR="002B3442" w:rsidRDefault="002B3442" w:rsidP="002B3442">
            <w:pPr>
              <w:jc w:val="both"/>
              <w:rPr>
                <w:rFonts w:ascii="Arial" w:hAnsi="Arial" w:cs="Arial"/>
                <w:sz w:val="20"/>
                <w:szCs w:val="20"/>
                <w:lang w:val="en-GB"/>
              </w:rPr>
            </w:pPr>
            <w:r>
              <w:rPr>
                <w:rFonts w:ascii="Arial" w:hAnsi="Arial" w:cs="Arial"/>
                <w:sz w:val="20"/>
                <w:szCs w:val="20"/>
                <w:lang w:val="en-GB"/>
              </w:rPr>
              <w:t xml:space="preserve">4. </w:t>
            </w:r>
            <w:r w:rsidRPr="00352C3A">
              <w:rPr>
                <w:rFonts w:ascii="Arial" w:hAnsi="Arial" w:cs="Arial"/>
                <w:sz w:val="20"/>
                <w:szCs w:val="20"/>
                <w:lang w:val="en-GB"/>
              </w:rPr>
              <w:t>Destroy</w:t>
            </w:r>
            <w:r>
              <w:rPr>
                <w:rFonts w:ascii="Arial" w:hAnsi="Arial" w:cs="Arial"/>
                <w:sz w:val="20"/>
                <w:szCs w:val="20"/>
                <w:lang w:val="en-GB"/>
              </w:rPr>
              <w:t>s</w:t>
            </w:r>
            <w:r w:rsidRPr="00352C3A">
              <w:rPr>
                <w:rFonts w:ascii="Arial" w:hAnsi="Arial" w:cs="Arial"/>
                <w:sz w:val="20"/>
                <w:szCs w:val="20"/>
                <w:lang w:val="en-GB"/>
              </w:rPr>
              <w:t>, alter</w:t>
            </w:r>
            <w:r>
              <w:rPr>
                <w:rFonts w:ascii="Arial" w:hAnsi="Arial" w:cs="Arial"/>
                <w:sz w:val="20"/>
                <w:szCs w:val="20"/>
                <w:lang w:val="en-GB"/>
              </w:rPr>
              <w:t>s</w:t>
            </w:r>
            <w:r w:rsidRPr="00352C3A">
              <w:rPr>
                <w:rFonts w:ascii="Arial" w:hAnsi="Arial" w:cs="Arial"/>
                <w:sz w:val="20"/>
                <w:szCs w:val="20"/>
                <w:lang w:val="en-GB"/>
              </w:rPr>
              <w:t xml:space="preserve"> or impede</w:t>
            </w:r>
            <w:r>
              <w:rPr>
                <w:rFonts w:ascii="Arial" w:hAnsi="Arial" w:cs="Arial"/>
                <w:sz w:val="20"/>
                <w:szCs w:val="20"/>
                <w:lang w:val="en-GB"/>
              </w:rPr>
              <w:t>s</w:t>
            </w:r>
            <w:r w:rsidRPr="00352C3A">
              <w:rPr>
                <w:rFonts w:ascii="Arial" w:hAnsi="Arial" w:cs="Arial"/>
                <w:sz w:val="20"/>
                <w:szCs w:val="20"/>
                <w:lang w:val="en-GB"/>
              </w:rPr>
              <w:t xml:space="preserve"> access to information or relevant evidence relating to the alleged </w:t>
            </w:r>
            <w:r>
              <w:rPr>
                <w:rFonts w:ascii="Arial" w:hAnsi="Arial" w:cs="Arial"/>
                <w:sz w:val="20"/>
                <w:szCs w:val="20"/>
                <w:lang w:val="en-GB"/>
              </w:rPr>
              <w:t xml:space="preserve">restrictive </w:t>
            </w:r>
            <w:r w:rsidRPr="00352C3A">
              <w:rPr>
                <w:rFonts w:ascii="Arial" w:hAnsi="Arial" w:cs="Arial"/>
                <w:sz w:val="20"/>
                <w:szCs w:val="20"/>
                <w:lang w:val="en-GB"/>
              </w:rPr>
              <w:t>agreement.</w:t>
            </w:r>
          </w:p>
          <w:p w14:paraId="0F639CA0" w14:textId="77777777" w:rsidR="002B3442" w:rsidRDefault="002B3442" w:rsidP="002B3442">
            <w:pPr>
              <w:jc w:val="both"/>
              <w:rPr>
                <w:rFonts w:ascii="Arial" w:hAnsi="Arial" w:cs="Arial"/>
                <w:sz w:val="20"/>
                <w:szCs w:val="20"/>
                <w:lang w:val="en-GB"/>
              </w:rPr>
            </w:pPr>
            <w:r>
              <w:rPr>
                <w:rFonts w:ascii="Arial" w:hAnsi="Arial" w:cs="Arial"/>
                <w:sz w:val="20"/>
                <w:szCs w:val="20"/>
                <w:lang w:val="en-GB"/>
              </w:rPr>
              <w:t xml:space="preserve">5. </w:t>
            </w:r>
            <w:r w:rsidRPr="00352C3A">
              <w:rPr>
                <w:rFonts w:ascii="Arial" w:hAnsi="Arial" w:cs="Arial"/>
                <w:sz w:val="20"/>
                <w:szCs w:val="20"/>
                <w:lang w:val="en-GB"/>
              </w:rPr>
              <w:t xml:space="preserve">When </w:t>
            </w:r>
            <w:r>
              <w:rPr>
                <w:rFonts w:ascii="Arial" w:hAnsi="Arial" w:cs="Arial"/>
                <w:sz w:val="20"/>
                <w:szCs w:val="20"/>
                <w:lang w:val="en-GB"/>
              </w:rPr>
              <w:t xml:space="preserve">it </w:t>
            </w:r>
            <w:r w:rsidRPr="00352C3A">
              <w:rPr>
                <w:rFonts w:ascii="Arial" w:hAnsi="Arial" w:cs="Arial"/>
                <w:sz w:val="20"/>
                <w:szCs w:val="20"/>
                <w:lang w:val="en-GB"/>
              </w:rPr>
              <w:t xml:space="preserve">is proved that the informer has the status of instigator or promoter </w:t>
            </w:r>
            <w:r>
              <w:rPr>
                <w:rFonts w:ascii="Arial" w:hAnsi="Arial" w:cs="Arial"/>
                <w:sz w:val="20"/>
                <w:szCs w:val="20"/>
                <w:lang w:val="en-GB"/>
              </w:rPr>
              <w:t>of the restrictive agreement</w:t>
            </w:r>
            <w:r w:rsidRPr="00352C3A">
              <w:rPr>
                <w:rFonts w:ascii="Arial" w:hAnsi="Arial" w:cs="Arial"/>
                <w:sz w:val="20"/>
                <w:szCs w:val="20"/>
                <w:lang w:val="en-GB"/>
              </w:rPr>
              <w:t>;</w:t>
            </w:r>
            <w:r>
              <w:rPr>
                <w:rFonts w:ascii="Arial" w:hAnsi="Arial" w:cs="Arial"/>
                <w:sz w:val="20"/>
                <w:szCs w:val="20"/>
                <w:lang w:val="en-GB"/>
              </w:rPr>
              <w:t xml:space="preserve"> and</w:t>
            </w:r>
          </w:p>
          <w:p w14:paraId="7B7C5135" w14:textId="77777777" w:rsidR="007B7C69" w:rsidRPr="00C3537E" w:rsidRDefault="002B3442" w:rsidP="002B3442">
            <w:pPr>
              <w:spacing w:before="120"/>
              <w:rPr>
                <w:rFonts w:ascii="Arial" w:hAnsi="Arial" w:cs="Arial"/>
                <w:sz w:val="20"/>
                <w:lang w:val="en-GB"/>
              </w:rPr>
            </w:pPr>
            <w:r>
              <w:rPr>
                <w:rFonts w:ascii="Arial" w:hAnsi="Arial" w:cs="Arial"/>
                <w:sz w:val="20"/>
                <w:szCs w:val="20"/>
                <w:lang w:val="en-GB"/>
              </w:rPr>
              <w:t xml:space="preserve">6. </w:t>
            </w:r>
            <w:r w:rsidRPr="00352C3A">
              <w:rPr>
                <w:rFonts w:ascii="Arial" w:hAnsi="Arial" w:cs="Arial"/>
                <w:sz w:val="20"/>
                <w:szCs w:val="20"/>
                <w:lang w:val="en-GB"/>
              </w:rPr>
              <w:t xml:space="preserve">Breaches any of </w:t>
            </w:r>
            <w:r>
              <w:rPr>
                <w:rFonts w:ascii="Arial" w:hAnsi="Arial" w:cs="Arial"/>
                <w:sz w:val="20"/>
                <w:szCs w:val="20"/>
                <w:lang w:val="en-GB"/>
              </w:rPr>
              <w:t>the</w:t>
            </w:r>
            <w:r w:rsidRPr="00352C3A">
              <w:rPr>
                <w:rFonts w:ascii="Arial" w:hAnsi="Arial" w:cs="Arial"/>
                <w:sz w:val="20"/>
                <w:szCs w:val="20"/>
                <w:lang w:val="en-GB"/>
              </w:rPr>
              <w:t xml:space="preserve"> obligations under the Convention.</w:t>
            </w:r>
          </w:p>
        </w:tc>
      </w:tr>
      <w:tr w:rsidR="007B7C69" w:rsidRPr="00C3537E" w14:paraId="654E4822" w14:textId="77777777" w:rsidTr="00F87CF4">
        <w:tblPrEx>
          <w:shd w:val="clear" w:color="auto" w:fill="auto"/>
        </w:tblPrEx>
        <w:tc>
          <w:tcPr>
            <w:tcW w:w="3440" w:type="dxa"/>
            <w:tcBorders>
              <w:left w:val="nil"/>
            </w:tcBorders>
            <w:shd w:val="clear" w:color="auto" w:fill="F3DFC3"/>
          </w:tcPr>
          <w:p w14:paraId="35B5452F"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Are there formal requirements to make a leniency application? [e.g. must applications take a particular form or include particular information/data, must they be in writing or can they be made orally, etc.]</w:t>
            </w:r>
          </w:p>
        </w:tc>
        <w:tc>
          <w:tcPr>
            <w:tcW w:w="5822" w:type="dxa"/>
            <w:tcBorders>
              <w:right w:val="nil"/>
            </w:tcBorders>
          </w:tcPr>
          <w:p w14:paraId="062BF4B8"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According to Article 2.2.2.29.2.4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0075300A">
              <w:rPr>
                <w:rFonts w:ascii="Arial" w:hAnsi="Arial" w:cs="Arial"/>
                <w:sz w:val="20"/>
                <w:szCs w:val="20"/>
                <w:lang w:val="en-GB"/>
              </w:rPr>
              <w:t xml:space="preserve"> </w:t>
            </w:r>
            <w:r>
              <w:rPr>
                <w:rFonts w:ascii="Arial" w:hAnsi="Arial" w:cs="Arial"/>
                <w:sz w:val="20"/>
                <w:szCs w:val="20"/>
                <w:lang w:val="en-GB"/>
              </w:rPr>
              <w:t xml:space="preserve">of Decree 1523, the application can be made: </w:t>
            </w:r>
          </w:p>
          <w:p w14:paraId="5F57E5BF" w14:textId="77777777" w:rsidR="002B3442" w:rsidRDefault="002B3442" w:rsidP="002B3442">
            <w:pPr>
              <w:numPr>
                <w:ilvl w:val="4"/>
                <w:numId w:val="16"/>
              </w:numPr>
              <w:tabs>
                <w:tab w:val="clear" w:pos="3240"/>
              </w:tabs>
              <w:spacing w:before="120"/>
              <w:ind w:left="370"/>
              <w:jc w:val="both"/>
              <w:rPr>
                <w:rFonts w:ascii="Arial" w:hAnsi="Arial" w:cs="Arial"/>
                <w:sz w:val="20"/>
                <w:szCs w:val="20"/>
                <w:lang w:val="en-GB"/>
              </w:rPr>
            </w:pPr>
            <w:r>
              <w:rPr>
                <w:rFonts w:ascii="Arial" w:hAnsi="Arial" w:cs="Arial"/>
                <w:sz w:val="20"/>
                <w:szCs w:val="20"/>
                <w:lang w:val="en-GB"/>
              </w:rPr>
              <w:t xml:space="preserve">By a written document presented at the premises of the Entity.  </w:t>
            </w:r>
          </w:p>
          <w:p w14:paraId="4A15C559" w14:textId="77777777" w:rsidR="002B3442" w:rsidRPr="00032E05" w:rsidRDefault="002B3442" w:rsidP="002B3442">
            <w:pPr>
              <w:numPr>
                <w:ilvl w:val="4"/>
                <w:numId w:val="16"/>
              </w:numPr>
              <w:tabs>
                <w:tab w:val="clear" w:pos="3240"/>
              </w:tabs>
              <w:spacing w:before="120"/>
              <w:ind w:left="370"/>
              <w:jc w:val="both"/>
              <w:rPr>
                <w:rStyle w:val="Textoennegrita"/>
                <w:rFonts w:ascii="Arial" w:hAnsi="Arial" w:cs="Arial"/>
                <w:b w:val="0"/>
                <w:bCs w:val="0"/>
                <w:sz w:val="20"/>
                <w:szCs w:val="20"/>
                <w:lang w:val="en-GB"/>
              </w:rPr>
            </w:pPr>
            <w:r w:rsidRPr="00852A62">
              <w:rPr>
                <w:rFonts w:ascii="Arial" w:hAnsi="Arial" w:cs="Arial"/>
                <w:sz w:val="20"/>
                <w:szCs w:val="20"/>
                <w:lang w:val="en-GB"/>
              </w:rPr>
              <w:t xml:space="preserve">By Email: </w:t>
            </w:r>
            <w:hyperlink r:id="rId36" w:history="1">
              <w:r>
                <w:rPr>
                  <w:rStyle w:val="Hipervnculo"/>
                  <w:rFonts w:ascii="Arial" w:hAnsi="Arial" w:cs="Arial"/>
                  <w:bCs/>
                  <w:color w:val="006CB5"/>
                  <w:sz w:val="20"/>
                  <w:szCs w:val="20"/>
                  <w:shd w:val="clear" w:color="auto" w:fill="FFFFFF"/>
                </w:rPr>
                <w:t>delprotecompetencia@sic.gov.co</w:t>
              </w:r>
            </w:hyperlink>
            <w:r>
              <w:rPr>
                <w:rStyle w:val="Textoennegrita"/>
                <w:rFonts w:ascii="Arial" w:hAnsi="Arial" w:cs="Arial"/>
                <w:color w:val="777777"/>
                <w:sz w:val="20"/>
                <w:szCs w:val="20"/>
                <w:shd w:val="clear" w:color="auto" w:fill="FFFFFF"/>
              </w:rPr>
              <w:t xml:space="preserve">, </w:t>
            </w:r>
            <w:hyperlink r:id="rId37" w:history="1">
              <w:r w:rsidRPr="00042430">
                <w:rPr>
                  <w:rStyle w:val="Hipervnculo"/>
                  <w:rFonts w:ascii="Arial" w:hAnsi="Arial" w:cs="Arial"/>
                  <w:sz w:val="20"/>
                  <w:szCs w:val="20"/>
                  <w:shd w:val="clear" w:color="auto" w:fill="FFFFFF"/>
                </w:rPr>
                <w:t>delacion@sic.gov.co</w:t>
              </w:r>
            </w:hyperlink>
          </w:p>
          <w:p w14:paraId="4040D5ED" w14:textId="77777777" w:rsidR="002B3442" w:rsidRDefault="00F512D1" w:rsidP="002B3442">
            <w:pPr>
              <w:numPr>
                <w:ilvl w:val="4"/>
                <w:numId w:val="16"/>
              </w:numPr>
              <w:tabs>
                <w:tab w:val="clear" w:pos="3240"/>
              </w:tabs>
              <w:spacing w:before="120"/>
              <w:ind w:left="370"/>
              <w:jc w:val="both"/>
              <w:rPr>
                <w:rFonts w:ascii="Arial" w:hAnsi="Arial" w:cs="Arial"/>
                <w:sz w:val="20"/>
                <w:szCs w:val="20"/>
                <w:lang w:val="en-GB"/>
              </w:rPr>
            </w:pPr>
            <w:r>
              <w:rPr>
                <w:rFonts w:ascii="Arial" w:hAnsi="Arial" w:cs="Arial"/>
                <w:sz w:val="20"/>
                <w:szCs w:val="20"/>
                <w:lang w:val="en-GB"/>
              </w:rPr>
              <w:t>By a meeting with the Deputy Superintendent for Competition Protection.</w:t>
            </w:r>
          </w:p>
          <w:p w14:paraId="125BC2D6" w14:textId="77777777" w:rsidR="007B7C69" w:rsidRPr="00C3537E" w:rsidRDefault="002B3442" w:rsidP="00F512D1">
            <w:pPr>
              <w:spacing w:before="120"/>
              <w:jc w:val="both"/>
              <w:rPr>
                <w:rFonts w:ascii="Arial" w:hAnsi="Arial" w:cs="Arial"/>
                <w:sz w:val="20"/>
                <w:lang w:val="en-GB"/>
              </w:rPr>
            </w:pPr>
            <w:r>
              <w:rPr>
                <w:rFonts w:ascii="Arial" w:hAnsi="Arial" w:cs="Arial"/>
                <w:sz w:val="20"/>
                <w:szCs w:val="20"/>
                <w:lang w:val="en-GB"/>
              </w:rPr>
              <w:t>Any type of application must fulfil the requisites of Article 2.2.2.29.2.3</w:t>
            </w:r>
            <w:r w:rsidR="0075300A">
              <w:rPr>
                <w:rFonts w:ascii="Arial" w:hAnsi="Arial" w:cs="Arial"/>
                <w:sz w:val="20"/>
                <w:szCs w:val="20"/>
                <w:lang w:val="en-GB"/>
              </w:rPr>
              <w:t xml:space="preserve"> </w:t>
            </w:r>
            <w:r>
              <w:rPr>
                <w:rFonts w:ascii="Arial" w:hAnsi="Arial" w:cs="Arial"/>
                <w:sz w:val="20"/>
                <w:szCs w:val="20"/>
                <w:lang w:val="en-GB"/>
              </w:rPr>
              <w:t>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w:t>
            </w:r>
          </w:p>
        </w:tc>
      </w:tr>
      <w:tr w:rsidR="007B7C69" w:rsidRPr="00C3537E" w14:paraId="472706D9" w14:textId="77777777" w:rsidTr="00F87CF4">
        <w:tblPrEx>
          <w:shd w:val="clear" w:color="auto" w:fill="auto"/>
        </w:tblPrEx>
        <w:tc>
          <w:tcPr>
            <w:tcW w:w="3440" w:type="dxa"/>
            <w:tcBorders>
              <w:left w:val="nil"/>
            </w:tcBorders>
            <w:shd w:val="clear" w:color="auto" w:fill="F3DFC3"/>
          </w:tcPr>
          <w:p w14:paraId="073229A1" w14:textId="77777777" w:rsidR="007B7C69" w:rsidRPr="00C3537E" w:rsidRDefault="007B7C69" w:rsidP="00DE31AD">
            <w:pPr>
              <w:numPr>
                <w:ilvl w:val="0"/>
                <w:numId w:val="21"/>
              </w:numPr>
              <w:spacing w:before="120" w:after="120"/>
              <w:rPr>
                <w:rFonts w:ascii="Arial" w:hAnsi="Arial" w:cs="Arial"/>
                <w:b/>
                <w:bCs/>
                <w:sz w:val="20"/>
                <w:lang w:val="en-GB"/>
              </w:rPr>
            </w:pPr>
            <w:r w:rsidRPr="00C3537E">
              <w:rPr>
                <w:rFonts w:ascii="Arial" w:hAnsi="Arial" w:cs="Arial"/>
                <w:b/>
                <w:bCs/>
                <w:sz w:val="20"/>
                <w:lang w:val="en-GB"/>
              </w:rPr>
              <w:t>Are there distinct procedural steps within the leniency program? [e.g.: prov</w:t>
            </w:r>
            <w:r w:rsidR="00DE31AD" w:rsidRPr="00C3537E">
              <w:rPr>
                <w:rFonts w:ascii="Arial" w:hAnsi="Arial" w:cs="Arial"/>
                <w:b/>
                <w:bCs/>
                <w:sz w:val="20"/>
                <w:lang w:val="en-GB"/>
              </w:rPr>
              <w:t>isional guarantee of leniency ("</w:t>
            </w:r>
            <w:r w:rsidRPr="00C3537E">
              <w:rPr>
                <w:rFonts w:ascii="Arial" w:hAnsi="Arial" w:cs="Arial"/>
                <w:b/>
                <w:bCs/>
                <w:sz w:val="20"/>
                <w:lang w:val="en-GB"/>
              </w:rPr>
              <w:t>PGL</w:t>
            </w:r>
            <w:r w:rsidR="00DE31AD" w:rsidRPr="00C3537E">
              <w:rPr>
                <w:rFonts w:ascii="Arial" w:hAnsi="Arial" w:cs="Arial"/>
                <w:b/>
                <w:bCs/>
                <w:sz w:val="20"/>
                <w:lang w:val="en-GB"/>
              </w:rPr>
              <w:t>")</w:t>
            </w:r>
            <w:r w:rsidRPr="00C3537E">
              <w:rPr>
                <w:rFonts w:ascii="Arial" w:hAnsi="Arial" w:cs="Arial"/>
                <w:b/>
                <w:bCs/>
                <w:sz w:val="20"/>
                <w:lang w:val="en-GB"/>
              </w:rPr>
              <w:t>and further steps leading to a final leniency agreement / decision)?]</w:t>
            </w:r>
          </w:p>
        </w:tc>
        <w:tc>
          <w:tcPr>
            <w:tcW w:w="5822" w:type="dxa"/>
            <w:tcBorders>
              <w:right w:val="nil"/>
            </w:tcBorders>
          </w:tcPr>
          <w:p w14:paraId="2A73C0D5"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Yes, there are. The first one is the moment of entrance to the program which must fulfil the requisites set forth in Article 2.2.2.29.2.3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w:t>
            </w:r>
          </w:p>
          <w:p w14:paraId="35B97FD3"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5 days after the application has been submitted to the Superintendence, the competent officer will analyse if the application fulfils the requirements of Article 2.2.2.29.2.3</w:t>
            </w:r>
            <w:r w:rsidR="0075300A">
              <w:rPr>
                <w:rFonts w:ascii="Arial" w:hAnsi="Arial" w:cs="Arial"/>
                <w:sz w:val="20"/>
                <w:szCs w:val="20"/>
                <w:lang w:val="en-GB"/>
              </w:rPr>
              <w:t xml:space="preserve"> </w:t>
            </w:r>
            <w:r>
              <w:rPr>
                <w:rFonts w:ascii="Arial" w:hAnsi="Arial" w:cs="Arial"/>
                <w:sz w:val="20"/>
                <w:szCs w:val="20"/>
                <w:lang w:val="en-GB"/>
              </w:rPr>
              <w:t>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If the requirements are completed, the officer will issue a certification informing the applicant about his/her position in the program. </w:t>
            </w:r>
          </w:p>
          <w:p w14:paraId="28699054"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 xml:space="preserve">The subscription of the convention between the competent officer and the applicant will be made after the officer has </w:t>
            </w:r>
            <w:r>
              <w:rPr>
                <w:rFonts w:ascii="Arial" w:hAnsi="Arial" w:cs="Arial"/>
                <w:sz w:val="20"/>
                <w:szCs w:val="20"/>
                <w:lang w:val="en-GB"/>
              </w:rPr>
              <w:lastRenderedPageBreak/>
              <w:t>verified the fulfilment of the requisites set forth in Article 2.2.2.29.2.6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w:t>
            </w:r>
          </w:p>
          <w:p w14:paraId="74D2B5B6" w14:textId="77777777" w:rsidR="002B3442" w:rsidRDefault="002B3442" w:rsidP="002B3442">
            <w:pPr>
              <w:spacing w:before="120"/>
              <w:jc w:val="both"/>
              <w:rPr>
                <w:rFonts w:ascii="Arial" w:hAnsi="Arial" w:cs="Arial"/>
                <w:sz w:val="20"/>
                <w:szCs w:val="20"/>
                <w:lang w:val="en-GB"/>
              </w:rPr>
            </w:pPr>
          </w:p>
          <w:p w14:paraId="52920718" w14:textId="77777777" w:rsidR="007B7C69" w:rsidRPr="00F512D1" w:rsidRDefault="002B3442" w:rsidP="00F512D1">
            <w:pPr>
              <w:pStyle w:val="Ttulo3"/>
              <w:numPr>
                <w:ilvl w:val="0"/>
                <w:numId w:val="0"/>
              </w:numPr>
              <w:spacing w:after="0"/>
              <w:jc w:val="both"/>
              <w:rPr>
                <w:rFonts w:ascii="Arial" w:hAnsi="Arial" w:cs="Arial"/>
                <w:sz w:val="20"/>
              </w:rPr>
            </w:pPr>
            <w:r>
              <w:rPr>
                <w:rFonts w:ascii="Arial" w:hAnsi="Arial" w:cs="Arial"/>
                <w:sz w:val="20"/>
                <w:lang w:val="en-GB"/>
              </w:rPr>
              <w:t>The</w:t>
            </w:r>
            <w:r w:rsidRPr="002A5792">
              <w:rPr>
                <w:rFonts w:ascii="Arial" w:hAnsi="Arial" w:cs="Arial"/>
                <w:sz w:val="20"/>
                <w:lang w:val="en-GB"/>
              </w:rPr>
              <w:t xml:space="preserve"> opportunity</w:t>
            </w:r>
            <w:r w:rsidR="00F512D1">
              <w:rPr>
                <w:rFonts w:ascii="Arial" w:hAnsi="Arial" w:cs="Arial"/>
                <w:sz w:val="20"/>
                <w:lang w:val="en-GB"/>
              </w:rPr>
              <w:t xml:space="preserve"> (deadline)</w:t>
            </w:r>
            <w:r w:rsidRPr="002A5792">
              <w:rPr>
                <w:rFonts w:ascii="Arial" w:hAnsi="Arial" w:cs="Arial"/>
                <w:sz w:val="20"/>
                <w:lang w:val="en-GB"/>
              </w:rPr>
              <w:t xml:space="preserve"> to submit the application to the program is after an investigation has been opened and before the end of the 20 days given to the offender to provide or request evidence of the commission of the presumed infraction. </w:t>
            </w:r>
          </w:p>
        </w:tc>
      </w:tr>
      <w:tr w:rsidR="007B7C69" w:rsidRPr="00C3537E" w14:paraId="7E762B32" w14:textId="77777777" w:rsidTr="00F87CF4">
        <w:tblPrEx>
          <w:shd w:val="clear" w:color="auto" w:fill="auto"/>
        </w:tblPrEx>
        <w:tc>
          <w:tcPr>
            <w:tcW w:w="3440" w:type="dxa"/>
            <w:tcBorders>
              <w:left w:val="nil"/>
            </w:tcBorders>
            <w:shd w:val="clear" w:color="auto" w:fill="F3DFC3"/>
          </w:tcPr>
          <w:p w14:paraId="3F3E9896"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lastRenderedPageBreak/>
              <w:t>At which time during the application process is the applicant given certainty with respect to its eligibility for leniency, and how is this done?</w:t>
            </w:r>
          </w:p>
        </w:tc>
        <w:tc>
          <w:tcPr>
            <w:tcW w:w="5822" w:type="dxa"/>
            <w:tcBorders>
              <w:right w:val="nil"/>
            </w:tcBorders>
          </w:tcPr>
          <w:p w14:paraId="5F707F98"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According to article 2.2.2.29.3.1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in the administrative act which decides the case, the Superintendent of Industry and Commerce decides if the benefits for collaboration agreed in the convention will be finally conceded. </w:t>
            </w:r>
          </w:p>
          <w:p w14:paraId="79DBC088" w14:textId="77777777" w:rsidR="007B7C69" w:rsidRPr="00C3537E" w:rsidRDefault="007B7C69">
            <w:pPr>
              <w:spacing w:before="120"/>
              <w:rPr>
                <w:rFonts w:ascii="Arial" w:hAnsi="Arial" w:cs="Arial"/>
                <w:lang w:val="en-GB"/>
              </w:rPr>
            </w:pPr>
          </w:p>
        </w:tc>
      </w:tr>
      <w:tr w:rsidR="007B7C69" w:rsidRPr="00C3537E" w14:paraId="49C9EC62" w14:textId="77777777" w:rsidTr="00F87CF4">
        <w:tblPrEx>
          <w:shd w:val="clear" w:color="auto" w:fill="auto"/>
        </w:tblPrEx>
        <w:tc>
          <w:tcPr>
            <w:tcW w:w="3440" w:type="dxa"/>
            <w:tcBorders>
              <w:left w:val="nil"/>
              <w:bottom w:val="single" w:sz="4" w:space="0" w:color="auto"/>
            </w:tcBorders>
            <w:shd w:val="clear" w:color="auto" w:fill="F3DFC3"/>
          </w:tcPr>
          <w:p w14:paraId="16641EDE"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What is the legal basis for the power to agree to grant leniency?Is leniency granted on the basis of an agreement or is it laid down in a (formal) decision? Who within the agency decides about leniency applications?</w:t>
            </w:r>
          </w:p>
        </w:tc>
        <w:tc>
          <w:tcPr>
            <w:tcW w:w="5822" w:type="dxa"/>
            <w:tcBorders>
              <w:right w:val="nil"/>
            </w:tcBorders>
          </w:tcPr>
          <w:p w14:paraId="1A00EE50" w14:textId="77777777" w:rsidR="002B3442" w:rsidRPr="006B73AA" w:rsidRDefault="002B3442" w:rsidP="002B3442">
            <w:pPr>
              <w:spacing w:before="120"/>
              <w:jc w:val="both"/>
              <w:rPr>
                <w:rFonts w:ascii="Arial" w:hAnsi="Arial" w:cs="Arial"/>
                <w:sz w:val="20"/>
                <w:szCs w:val="20"/>
                <w:lang w:val="en-GB"/>
              </w:rPr>
            </w:pPr>
            <w:r>
              <w:rPr>
                <w:rFonts w:ascii="Arial" w:hAnsi="Arial" w:cs="Arial"/>
                <w:sz w:val="20"/>
                <w:szCs w:val="20"/>
                <w:lang w:val="en-GB"/>
              </w:rPr>
              <w:t>Article 2.2.2.29.2.6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leniency is granted on the basis of a </w:t>
            </w:r>
            <w:r w:rsidR="00F512D1">
              <w:rPr>
                <w:rFonts w:ascii="Arial" w:hAnsi="Arial" w:cs="Arial"/>
                <w:sz w:val="20"/>
                <w:szCs w:val="20"/>
                <w:lang w:val="en-GB"/>
              </w:rPr>
              <w:t xml:space="preserve">leniency </w:t>
            </w:r>
            <w:r>
              <w:rPr>
                <w:rFonts w:ascii="Arial" w:hAnsi="Arial" w:cs="Arial"/>
                <w:sz w:val="20"/>
                <w:szCs w:val="20"/>
                <w:lang w:val="en-GB"/>
              </w:rPr>
              <w:t>convention / agreement</w:t>
            </w:r>
            <w:r w:rsidR="00F512D1">
              <w:rPr>
                <w:rFonts w:ascii="Arial" w:hAnsi="Arial" w:cs="Arial"/>
                <w:sz w:val="20"/>
                <w:szCs w:val="20"/>
                <w:lang w:val="en-GB"/>
              </w:rPr>
              <w:t xml:space="preserve"> signed by the Deputy Superintendent.</w:t>
            </w:r>
          </w:p>
          <w:p w14:paraId="30C3275D" w14:textId="77777777" w:rsidR="007B7C69" w:rsidRPr="00C3537E" w:rsidRDefault="007B7C69">
            <w:pPr>
              <w:spacing w:before="120"/>
              <w:rPr>
                <w:rFonts w:ascii="Arial" w:hAnsi="Arial" w:cs="Arial"/>
                <w:sz w:val="20"/>
                <w:lang w:val="en-GB"/>
              </w:rPr>
            </w:pPr>
          </w:p>
        </w:tc>
      </w:tr>
      <w:tr w:rsidR="007B7C69" w:rsidRPr="00C3537E" w14:paraId="43518C6C" w14:textId="77777777" w:rsidTr="00F87CF4">
        <w:tblPrEx>
          <w:shd w:val="clear" w:color="auto" w:fill="auto"/>
        </w:tblPrEx>
        <w:tc>
          <w:tcPr>
            <w:tcW w:w="3440" w:type="dxa"/>
            <w:tcBorders>
              <w:left w:val="nil"/>
            </w:tcBorders>
            <w:shd w:val="clear" w:color="auto" w:fill="F3DFC3"/>
          </w:tcPr>
          <w:p w14:paraId="627E3E05" w14:textId="77777777" w:rsidR="007B7C69" w:rsidRPr="00C3537E" w:rsidRDefault="007B7C69" w:rsidP="008E4638">
            <w:pPr>
              <w:numPr>
                <w:ilvl w:val="0"/>
                <w:numId w:val="21"/>
              </w:numPr>
              <w:spacing w:before="120" w:after="120"/>
              <w:rPr>
                <w:rFonts w:ascii="Arial" w:hAnsi="Arial" w:cs="Arial"/>
                <w:b/>
                <w:bCs/>
                <w:sz w:val="20"/>
                <w:lang w:val="en-GB"/>
              </w:rPr>
            </w:pPr>
            <w:r w:rsidRPr="00C3537E">
              <w:rPr>
                <w:rFonts w:ascii="Arial" w:hAnsi="Arial" w:cs="Arial"/>
                <w:b/>
                <w:bCs/>
                <w:sz w:val="20"/>
                <w:lang w:val="en-GB"/>
              </w:rPr>
              <w:t>Do you have a marker</w:t>
            </w:r>
            <w:r w:rsidR="00460A96">
              <w:rPr>
                <w:rStyle w:val="Refdenotaalpie"/>
                <w:rFonts w:cs="Arial"/>
                <w:b/>
                <w:bCs/>
                <w:lang w:val="en-GB"/>
              </w:rPr>
              <w:footnoteReference w:id="7"/>
            </w:r>
            <w:r w:rsidRPr="00C3537E">
              <w:rPr>
                <w:rFonts w:ascii="Arial" w:hAnsi="Arial" w:cs="Arial"/>
                <w:b/>
                <w:bCs/>
                <w:sz w:val="20"/>
                <w:lang w:val="en-GB"/>
              </w:rPr>
              <w:t xml:space="preserve"> system? If yes, please describe it.</w:t>
            </w:r>
          </w:p>
        </w:tc>
        <w:tc>
          <w:tcPr>
            <w:tcW w:w="5822" w:type="dxa"/>
            <w:tcBorders>
              <w:right w:val="nil"/>
            </w:tcBorders>
          </w:tcPr>
          <w:p w14:paraId="201E3E87" w14:textId="77777777" w:rsidR="007B7C69" w:rsidRPr="00C3537E" w:rsidRDefault="002B3442" w:rsidP="002B3442">
            <w:pPr>
              <w:spacing w:before="120"/>
              <w:jc w:val="both"/>
              <w:rPr>
                <w:rFonts w:ascii="Arial" w:hAnsi="Arial" w:cs="Arial"/>
                <w:sz w:val="20"/>
                <w:lang w:val="en-GB"/>
              </w:rPr>
            </w:pPr>
            <w:r>
              <w:rPr>
                <w:rFonts w:ascii="Arial" w:hAnsi="Arial" w:cs="Arial"/>
                <w:sz w:val="20"/>
                <w:szCs w:val="20"/>
                <w:lang w:val="en-GB"/>
              </w:rPr>
              <w:t>Yes</w:t>
            </w:r>
            <w:r w:rsidRPr="00956E13">
              <w:rPr>
                <w:rFonts w:ascii="Arial" w:hAnsi="Arial" w:cs="Arial"/>
                <w:sz w:val="20"/>
                <w:szCs w:val="20"/>
                <w:lang w:val="en-GB"/>
              </w:rPr>
              <w:t>, we do have it.</w:t>
            </w:r>
            <w:r>
              <w:rPr>
                <w:rFonts w:ascii="Arial" w:hAnsi="Arial" w:cs="Arial"/>
                <w:sz w:val="20"/>
                <w:szCs w:val="20"/>
                <w:lang w:val="en-GB"/>
              </w:rPr>
              <w:t xml:space="preserve"> Article 2.2.2.29.2.3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establishes that the moment to determine</w:t>
            </w:r>
            <w:r w:rsidR="00E322A6">
              <w:rPr>
                <w:rFonts w:ascii="Arial" w:hAnsi="Arial" w:cs="Arial"/>
                <w:sz w:val="20"/>
                <w:szCs w:val="20"/>
                <w:lang w:val="en-GB"/>
              </w:rPr>
              <w:t xml:space="preserve"> </w:t>
            </w:r>
            <w:r>
              <w:rPr>
                <w:rFonts w:ascii="Arial" w:hAnsi="Arial" w:cs="Arial"/>
                <w:sz w:val="20"/>
                <w:szCs w:val="20"/>
                <w:lang w:val="en-GB"/>
              </w:rPr>
              <w:t>t</w:t>
            </w:r>
            <w:r w:rsidRPr="00DD3C63">
              <w:rPr>
                <w:rFonts w:ascii="Arial" w:hAnsi="Arial" w:cs="Arial"/>
                <w:sz w:val="20"/>
                <w:szCs w:val="20"/>
                <w:lang w:val="en-GB"/>
              </w:rPr>
              <w:t xml:space="preserve">he entrance </w:t>
            </w:r>
            <w:r>
              <w:rPr>
                <w:rFonts w:ascii="Arial" w:hAnsi="Arial" w:cs="Arial"/>
                <w:sz w:val="20"/>
                <w:szCs w:val="20"/>
                <w:lang w:val="en-GB"/>
              </w:rPr>
              <w:t>to the leniency</w:t>
            </w:r>
            <w:r w:rsidRPr="00DD3C63">
              <w:rPr>
                <w:rFonts w:ascii="Arial" w:hAnsi="Arial" w:cs="Arial"/>
                <w:sz w:val="20"/>
                <w:szCs w:val="20"/>
                <w:lang w:val="en-GB"/>
              </w:rPr>
              <w:t xml:space="preserve"> program is when it is verified that the application meets the requirements of that article. Additionally, the certification </w:t>
            </w:r>
            <w:r>
              <w:rPr>
                <w:rFonts w:ascii="Arial" w:hAnsi="Arial" w:cs="Arial"/>
                <w:sz w:val="20"/>
                <w:szCs w:val="20"/>
                <w:lang w:val="en-GB"/>
              </w:rPr>
              <w:t xml:space="preserve">issued by the </w:t>
            </w:r>
            <w:r w:rsidR="00085B62">
              <w:rPr>
                <w:rFonts w:ascii="Arial" w:hAnsi="Arial" w:cs="Arial"/>
                <w:sz w:val="20"/>
                <w:szCs w:val="20"/>
                <w:lang w:val="en-GB"/>
              </w:rPr>
              <w:t>Deputy Superintendent</w:t>
            </w:r>
            <w:r w:rsidR="00E322A6">
              <w:rPr>
                <w:rFonts w:ascii="Arial" w:hAnsi="Arial" w:cs="Arial"/>
                <w:sz w:val="20"/>
                <w:szCs w:val="20"/>
                <w:lang w:val="en-GB"/>
              </w:rPr>
              <w:t xml:space="preserve"> </w:t>
            </w:r>
            <w:r>
              <w:rPr>
                <w:rFonts w:ascii="Arial" w:hAnsi="Arial" w:cs="Arial"/>
                <w:sz w:val="20"/>
                <w:szCs w:val="20"/>
                <w:lang w:val="en-GB"/>
              </w:rPr>
              <w:t>contains</w:t>
            </w:r>
            <w:r w:rsidRPr="00DD3C63">
              <w:rPr>
                <w:rFonts w:ascii="Arial" w:hAnsi="Arial" w:cs="Arial"/>
                <w:sz w:val="20"/>
                <w:szCs w:val="20"/>
                <w:lang w:val="en-GB"/>
              </w:rPr>
              <w:t xml:space="preserve"> the order in which each </w:t>
            </w:r>
            <w:r>
              <w:rPr>
                <w:rFonts w:ascii="Arial" w:hAnsi="Arial" w:cs="Arial"/>
                <w:sz w:val="20"/>
                <w:szCs w:val="20"/>
                <w:lang w:val="en-GB"/>
              </w:rPr>
              <w:t xml:space="preserve">applicant has presented </w:t>
            </w:r>
            <w:r w:rsidRPr="00DD3C63">
              <w:rPr>
                <w:rFonts w:ascii="Arial" w:hAnsi="Arial" w:cs="Arial"/>
                <w:sz w:val="20"/>
                <w:szCs w:val="20"/>
                <w:lang w:val="en-GB"/>
              </w:rPr>
              <w:t xml:space="preserve">and therefore the benefits </w:t>
            </w:r>
            <w:r>
              <w:rPr>
                <w:rFonts w:ascii="Arial" w:hAnsi="Arial" w:cs="Arial"/>
                <w:sz w:val="20"/>
                <w:szCs w:val="20"/>
                <w:lang w:val="en-GB"/>
              </w:rPr>
              <w:t xml:space="preserve">h/she/it </w:t>
            </w:r>
            <w:r w:rsidRPr="00DD3C63">
              <w:rPr>
                <w:rFonts w:ascii="Arial" w:hAnsi="Arial" w:cs="Arial"/>
                <w:sz w:val="20"/>
                <w:szCs w:val="20"/>
                <w:lang w:val="en-GB"/>
              </w:rPr>
              <w:t>will receive</w:t>
            </w:r>
            <w:r>
              <w:rPr>
                <w:rFonts w:ascii="Arial" w:hAnsi="Arial" w:cs="Arial"/>
                <w:sz w:val="20"/>
                <w:szCs w:val="20"/>
                <w:lang w:val="en-GB"/>
              </w:rPr>
              <w:t>d</w:t>
            </w:r>
            <w:r w:rsidRPr="00DD3C63">
              <w:rPr>
                <w:rFonts w:ascii="Arial" w:hAnsi="Arial" w:cs="Arial"/>
                <w:sz w:val="20"/>
                <w:szCs w:val="20"/>
                <w:lang w:val="en-GB"/>
              </w:rPr>
              <w:t>.</w:t>
            </w:r>
            <w:r>
              <w:rPr>
                <w:rFonts w:ascii="Arial" w:hAnsi="Arial" w:cs="Arial"/>
                <w:sz w:val="20"/>
                <w:szCs w:val="20"/>
                <w:lang w:val="en-GB"/>
              </w:rPr>
              <w:t xml:space="preserve"> So, the marker system is based on the certifications </w:t>
            </w:r>
            <w:r w:rsidR="00085B62">
              <w:rPr>
                <w:rFonts w:ascii="Arial" w:hAnsi="Arial" w:cs="Arial"/>
                <w:sz w:val="20"/>
                <w:szCs w:val="20"/>
                <w:lang w:val="en-GB"/>
              </w:rPr>
              <w:t>signed</w:t>
            </w:r>
            <w:r>
              <w:rPr>
                <w:rFonts w:ascii="Arial" w:hAnsi="Arial" w:cs="Arial"/>
                <w:sz w:val="20"/>
                <w:szCs w:val="20"/>
                <w:lang w:val="en-GB"/>
              </w:rPr>
              <w:t xml:space="preserve"> by the officer.</w:t>
            </w:r>
          </w:p>
        </w:tc>
      </w:tr>
      <w:tr w:rsidR="007B7C69" w:rsidRPr="00C3537E" w14:paraId="694250FD" w14:textId="77777777" w:rsidTr="00F87CF4">
        <w:tblPrEx>
          <w:shd w:val="clear" w:color="auto" w:fill="auto"/>
        </w:tblPrEx>
        <w:tc>
          <w:tcPr>
            <w:tcW w:w="3440" w:type="dxa"/>
            <w:tcBorders>
              <w:left w:val="nil"/>
            </w:tcBorders>
            <w:shd w:val="clear" w:color="auto" w:fill="F3DFC3"/>
          </w:tcPr>
          <w:p w14:paraId="2A84DABC"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Does the system provide for any extra credit</w:t>
            </w:r>
            <w:r w:rsidRPr="00C3537E">
              <w:rPr>
                <w:rStyle w:val="Refdenotaalpie"/>
                <w:rFonts w:cs="Arial"/>
                <w:b/>
                <w:bCs/>
                <w:lang w:val="en-GB"/>
              </w:rPr>
              <w:footnoteReference w:id="8"/>
            </w:r>
            <w:r w:rsidRPr="00C3537E">
              <w:rPr>
                <w:rFonts w:ascii="Arial" w:hAnsi="Arial" w:cs="Arial"/>
                <w:b/>
                <w:bCs/>
                <w:sz w:val="20"/>
                <w:lang w:val="en-GB"/>
              </w:rPr>
              <w:t xml:space="preserve"> for disclosing additional violations? [e.g. a hardcore cartel in another market]</w:t>
            </w:r>
          </w:p>
        </w:tc>
        <w:tc>
          <w:tcPr>
            <w:tcW w:w="5822" w:type="dxa"/>
            <w:tcBorders>
              <w:right w:val="nil"/>
            </w:tcBorders>
          </w:tcPr>
          <w:p w14:paraId="45C82D6C" w14:textId="77777777" w:rsidR="002B3442" w:rsidRDefault="002B3442" w:rsidP="002B3442">
            <w:pPr>
              <w:spacing w:before="120"/>
              <w:jc w:val="both"/>
              <w:rPr>
                <w:rFonts w:ascii="Arial" w:hAnsi="Arial" w:cs="Arial"/>
                <w:sz w:val="20"/>
                <w:szCs w:val="20"/>
                <w:lang w:val="en-GB"/>
              </w:rPr>
            </w:pPr>
            <w:r w:rsidRPr="006B73AA">
              <w:rPr>
                <w:rFonts w:ascii="Arial" w:hAnsi="Arial" w:cs="Arial"/>
                <w:sz w:val="20"/>
                <w:szCs w:val="20"/>
                <w:lang w:val="en-GB"/>
              </w:rPr>
              <w:t>Yes,</w:t>
            </w:r>
            <w:r>
              <w:rPr>
                <w:rFonts w:ascii="Arial" w:hAnsi="Arial" w:cs="Arial"/>
                <w:sz w:val="20"/>
                <w:szCs w:val="20"/>
                <w:lang w:val="en-GB"/>
              </w:rPr>
              <w:t xml:space="preserve"> it does. Article 2.2.2.29.4.1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00E322A6">
              <w:rPr>
                <w:rFonts w:ascii="Arial" w:hAnsi="Arial" w:cs="Arial"/>
                <w:sz w:val="20"/>
                <w:szCs w:val="20"/>
                <w:lang w:val="en-GB"/>
              </w:rPr>
              <w:t xml:space="preserve"> </w:t>
            </w:r>
            <w:r>
              <w:rPr>
                <w:rFonts w:ascii="Arial" w:hAnsi="Arial" w:cs="Arial"/>
                <w:sz w:val="20"/>
                <w:szCs w:val="20"/>
                <w:lang w:val="en-GB"/>
              </w:rPr>
              <w:t>e</w:t>
            </w:r>
            <w:r w:rsidRPr="001C4364">
              <w:rPr>
                <w:rFonts w:ascii="Arial" w:hAnsi="Arial" w:cs="Arial"/>
                <w:sz w:val="20"/>
                <w:szCs w:val="20"/>
                <w:lang w:val="en-GB"/>
              </w:rPr>
              <w:t>nable</w:t>
            </w:r>
            <w:r>
              <w:rPr>
                <w:rFonts w:ascii="Arial" w:hAnsi="Arial" w:cs="Arial"/>
                <w:sz w:val="20"/>
                <w:szCs w:val="20"/>
                <w:lang w:val="en-GB"/>
              </w:rPr>
              <w:t>s</w:t>
            </w:r>
            <w:r w:rsidRPr="001C4364">
              <w:rPr>
                <w:rFonts w:ascii="Arial" w:hAnsi="Arial" w:cs="Arial"/>
                <w:sz w:val="20"/>
                <w:szCs w:val="20"/>
                <w:lang w:val="en-GB"/>
              </w:rPr>
              <w:t xml:space="preserve"> leniency applicants who are not the “first in” applying for leniency benefits to earn an additional 15% reduction in their fine by disclosing the </w:t>
            </w:r>
            <w:r>
              <w:rPr>
                <w:rFonts w:ascii="Arial" w:hAnsi="Arial" w:cs="Arial"/>
                <w:sz w:val="20"/>
                <w:szCs w:val="20"/>
                <w:lang w:val="en-GB"/>
              </w:rPr>
              <w:t xml:space="preserve">existence of a different cartel </w:t>
            </w:r>
            <w:r w:rsidRPr="006B73AA">
              <w:rPr>
                <w:rFonts w:ascii="Arial" w:hAnsi="Arial" w:cs="Arial"/>
                <w:sz w:val="20"/>
                <w:szCs w:val="20"/>
                <w:lang w:val="en-GB"/>
              </w:rPr>
              <w:t xml:space="preserve">in </w:t>
            </w:r>
            <w:r>
              <w:rPr>
                <w:rFonts w:ascii="Arial" w:hAnsi="Arial" w:cs="Arial"/>
                <w:sz w:val="20"/>
                <w:szCs w:val="20"/>
                <w:lang w:val="en-GB"/>
              </w:rPr>
              <w:t>other market</w:t>
            </w:r>
            <w:r w:rsidR="00085B62">
              <w:rPr>
                <w:rFonts w:ascii="Arial" w:hAnsi="Arial" w:cs="Arial"/>
                <w:sz w:val="20"/>
                <w:szCs w:val="20"/>
                <w:lang w:val="en-GB"/>
              </w:rPr>
              <w:t>s</w:t>
            </w:r>
            <w:r w:rsidRPr="006B73AA">
              <w:rPr>
                <w:rFonts w:ascii="Arial" w:hAnsi="Arial" w:cs="Arial"/>
                <w:sz w:val="20"/>
                <w:szCs w:val="20"/>
                <w:lang w:val="en-GB"/>
              </w:rPr>
              <w:t xml:space="preserve">. </w:t>
            </w:r>
            <w:r>
              <w:rPr>
                <w:rFonts w:ascii="Arial" w:hAnsi="Arial" w:cs="Arial"/>
                <w:sz w:val="20"/>
                <w:szCs w:val="20"/>
                <w:lang w:val="en-GB"/>
              </w:rPr>
              <w:t>(</w:t>
            </w:r>
            <w:r>
              <w:rPr>
                <w:rFonts w:ascii="Arial" w:hAnsi="Arial" w:cs="Arial"/>
                <w:i/>
                <w:sz w:val="20"/>
                <w:szCs w:val="20"/>
                <w:lang w:val="en-GB"/>
              </w:rPr>
              <w:t>Leniency plus).</w:t>
            </w:r>
          </w:p>
          <w:p w14:paraId="2B835AE2" w14:textId="77777777" w:rsidR="007B7C69" w:rsidRPr="00C3537E" w:rsidRDefault="002B3442" w:rsidP="004C1048">
            <w:pPr>
              <w:spacing w:before="120"/>
              <w:jc w:val="both"/>
              <w:rPr>
                <w:rFonts w:ascii="Arial" w:hAnsi="Arial" w:cs="Arial"/>
                <w:sz w:val="20"/>
                <w:lang w:val="en-GB"/>
              </w:rPr>
            </w:pPr>
            <w:r w:rsidRPr="006B73AA">
              <w:rPr>
                <w:rFonts w:ascii="Arial" w:hAnsi="Arial" w:cs="Arial"/>
                <w:sz w:val="20"/>
                <w:szCs w:val="20"/>
                <w:lang w:val="en-GB"/>
              </w:rPr>
              <w:t>In the s</w:t>
            </w:r>
            <w:r>
              <w:rPr>
                <w:rFonts w:ascii="Arial" w:hAnsi="Arial" w:cs="Arial"/>
                <w:sz w:val="20"/>
                <w:szCs w:val="20"/>
                <w:lang w:val="en-GB"/>
              </w:rPr>
              <w:t>ame track, Article 2.2.2.29.4.1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sidR="00E322A6">
              <w:rPr>
                <w:rFonts w:ascii="Arial" w:hAnsi="Arial" w:cs="Arial"/>
                <w:sz w:val="20"/>
                <w:szCs w:val="20"/>
                <w:lang w:val="en-GB"/>
              </w:rPr>
              <w:t xml:space="preserve"> </w:t>
            </w:r>
            <w:r>
              <w:rPr>
                <w:rFonts w:ascii="Arial" w:hAnsi="Arial" w:cs="Arial"/>
                <w:sz w:val="20"/>
                <w:szCs w:val="20"/>
                <w:lang w:val="en-GB"/>
              </w:rPr>
              <w:t>states that “facilitators”</w:t>
            </w:r>
            <w:r w:rsidRPr="006B73AA">
              <w:rPr>
                <w:rFonts w:ascii="Arial" w:hAnsi="Arial" w:cs="Arial"/>
                <w:sz w:val="20"/>
                <w:szCs w:val="20"/>
                <w:lang w:val="en-GB"/>
              </w:rPr>
              <w:t xml:space="preserve"> may receive extra benefits when reveal</w:t>
            </w:r>
            <w:r>
              <w:rPr>
                <w:rFonts w:ascii="Arial" w:hAnsi="Arial" w:cs="Arial"/>
                <w:sz w:val="20"/>
                <w:szCs w:val="20"/>
                <w:lang w:val="en-GB"/>
              </w:rPr>
              <w:t>ing</w:t>
            </w:r>
            <w:r w:rsidRPr="006B73AA">
              <w:rPr>
                <w:rFonts w:ascii="Arial" w:hAnsi="Arial" w:cs="Arial"/>
                <w:sz w:val="20"/>
                <w:szCs w:val="20"/>
                <w:lang w:val="en-GB"/>
              </w:rPr>
              <w:t xml:space="preserve"> the existence of a restrictive practice, different </w:t>
            </w:r>
            <w:r>
              <w:rPr>
                <w:rFonts w:ascii="Arial" w:hAnsi="Arial" w:cs="Arial"/>
                <w:sz w:val="20"/>
                <w:szCs w:val="20"/>
                <w:lang w:val="en-GB"/>
              </w:rPr>
              <w:t>from a cartel</w:t>
            </w:r>
            <w:r w:rsidRPr="006B73AA">
              <w:rPr>
                <w:rFonts w:ascii="Arial" w:hAnsi="Arial" w:cs="Arial"/>
                <w:sz w:val="20"/>
                <w:szCs w:val="20"/>
                <w:lang w:val="en-GB"/>
              </w:rPr>
              <w:t xml:space="preserve">. </w:t>
            </w:r>
            <w:r>
              <w:rPr>
                <w:rFonts w:ascii="Arial" w:hAnsi="Arial" w:cs="Arial"/>
                <w:sz w:val="20"/>
                <w:szCs w:val="20"/>
                <w:lang w:val="en-GB"/>
              </w:rPr>
              <w:t>A “facilitator” is any person who collaborates, facilitates, authorizes or tolerate anticompetitive practices.</w:t>
            </w:r>
          </w:p>
        </w:tc>
      </w:tr>
      <w:tr w:rsidR="007B7C69" w:rsidRPr="00C3537E" w14:paraId="1A9C41CA" w14:textId="77777777" w:rsidTr="00F87CF4">
        <w:tblPrEx>
          <w:shd w:val="clear" w:color="auto" w:fill="auto"/>
        </w:tblPrEx>
        <w:tc>
          <w:tcPr>
            <w:tcW w:w="3440" w:type="dxa"/>
            <w:tcBorders>
              <w:left w:val="nil"/>
            </w:tcBorders>
            <w:shd w:val="clear" w:color="auto" w:fill="F3DFC3"/>
          </w:tcPr>
          <w:p w14:paraId="3029DF4A"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Is the agency required to keep the identity of the beneficiary confidential? If yes, please elaborate.</w:t>
            </w:r>
          </w:p>
        </w:tc>
        <w:tc>
          <w:tcPr>
            <w:tcW w:w="5822" w:type="dxa"/>
            <w:tcBorders>
              <w:right w:val="nil"/>
            </w:tcBorders>
          </w:tcPr>
          <w:p w14:paraId="5167EA81" w14:textId="77777777" w:rsidR="007B7C69" w:rsidRPr="00C3537E" w:rsidRDefault="002B3442" w:rsidP="004C1048">
            <w:pPr>
              <w:spacing w:before="120"/>
              <w:jc w:val="both"/>
              <w:rPr>
                <w:rFonts w:ascii="Arial" w:hAnsi="Arial" w:cs="Arial"/>
                <w:lang w:val="en-GB"/>
              </w:rPr>
            </w:pPr>
            <w:r>
              <w:rPr>
                <w:rFonts w:ascii="Arial" w:hAnsi="Arial" w:cs="Arial"/>
                <w:sz w:val="20"/>
                <w:szCs w:val="20"/>
                <w:lang w:val="en-GB"/>
              </w:rPr>
              <w:t>According to Article 2.2.2.29.4.3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the applicant will be granted with confidentiality in accordance with the second paragraph of Article 15 of Law 1340 of 2009, when in consideration of the Authority, the whistle-blower may suffer business retaliation from other competitors.</w:t>
            </w:r>
          </w:p>
        </w:tc>
      </w:tr>
      <w:tr w:rsidR="007B7C69" w:rsidRPr="00C3537E" w14:paraId="659A3D6B" w14:textId="77777777" w:rsidTr="00F87CF4">
        <w:tblPrEx>
          <w:shd w:val="clear" w:color="auto" w:fill="auto"/>
        </w:tblPrEx>
        <w:tc>
          <w:tcPr>
            <w:tcW w:w="3440" w:type="dxa"/>
            <w:tcBorders>
              <w:left w:val="nil"/>
            </w:tcBorders>
            <w:shd w:val="clear" w:color="auto" w:fill="F3DFC3"/>
          </w:tcPr>
          <w:p w14:paraId="77949D93"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sz w:val="20"/>
                <w:lang w:val="en-GB"/>
              </w:rPr>
              <w:t xml:space="preserve">Is there a possibility of appealing an agency’s </w:t>
            </w:r>
            <w:r w:rsidRPr="00C3537E">
              <w:rPr>
                <w:rFonts w:ascii="Arial" w:hAnsi="Arial" w:cs="Arial"/>
                <w:b/>
                <w:sz w:val="20"/>
                <w:lang w:val="en-GB"/>
              </w:rPr>
              <w:lastRenderedPageBreak/>
              <w:t>decision rejecting a leniency application?</w:t>
            </w:r>
          </w:p>
        </w:tc>
        <w:tc>
          <w:tcPr>
            <w:tcW w:w="5822" w:type="dxa"/>
            <w:tcBorders>
              <w:right w:val="nil"/>
            </w:tcBorders>
          </w:tcPr>
          <w:p w14:paraId="1B6DFD47" w14:textId="77777777" w:rsidR="007B7C69" w:rsidRPr="00C3537E" w:rsidRDefault="002B3442">
            <w:pPr>
              <w:spacing w:before="120"/>
              <w:rPr>
                <w:rFonts w:ascii="Arial" w:hAnsi="Arial" w:cs="Arial"/>
                <w:sz w:val="20"/>
                <w:lang w:val="en-GB"/>
              </w:rPr>
            </w:pPr>
            <w:r>
              <w:rPr>
                <w:rFonts w:ascii="Arial" w:hAnsi="Arial" w:cs="Arial"/>
                <w:sz w:val="20"/>
                <w:szCs w:val="20"/>
                <w:lang w:val="en-GB"/>
              </w:rPr>
              <w:lastRenderedPageBreak/>
              <w:t>No, there is not.</w:t>
            </w:r>
          </w:p>
        </w:tc>
      </w:tr>
      <w:tr w:rsidR="007B7C69" w:rsidRPr="00C3537E" w14:paraId="5B31B364" w14:textId="77777777" w:rsidTr="00F87CF4">
        <w:tblPrEx>
          <w:shd w:val="clear" w:color="auto" w:fill="auto"/>
        </w:tblPrEx>
        <w:tc>
          <w:tcPr>
            <w:tcW w:w="3440" w:type="dxa"/>
            <w:tcBorders>
              <w:left w:val="nil"/>
            </w:tcBorders>
            <w:shd w:val="clear" w:color="auto" w:fill="F3DFC3"/>
          </w:tcPr>
          <w:p w14:paraId="69332DA7"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Contact point where a leniency application can be lodged [telephone and fax including the country code, plus out of hours contacts (if any)]:</w:t>
            </w:r>
          </w:p>
        </w:tc>
        <w:tc>
          <w:tcPr>
            <w:tcW w:w="5822" w:type="dxa"/>
            <w:tcBorders>
              <w:right w:val="nil"/>
            </w:tcBorders>
          </w:tcPr>
          <w:p w14:paraId="6B6B3C34" w14:textId="77777777" w:rsidR="002B3442" w:rsidRPr="00032E05" w:rsidRDefault="002B3442" w:rsidP="002B3442">
            <w:pPr>
              <w:spacing w:before="120"/>
              <w:jc w:val="both"/>
              <w:rPr>
                <w:rFonts w:ascii="Arial" w:hAnsi="Arial" w:cs="Arial"/>
                <w:sz w:val="20"/>
                <w:szCs w:val="20"/>
                <w:lang w:val="en-GB"/>
              </w:rPr>
            </w:pPr>
            <w:r w:rsidRPr="00032E05">
              <w:rPr>
                <w:rFonts w:ascii="Arial" w:hAnsi="Arial" w:cs="Arial"/>
                <w:sz w:val="20"/>
                <w:szCs w:val="20"/>
                <w:lang w:val="en-GB"/>
              </w:rPr>
              <w:t xml:space="preserve">The phone number is: +57 1 5870000, </w:t>
            </w:r>
          </w:p>
          <w:p w14:paraId="0BF17D3F" w14:textId="77777777" w:rsidR="002B3442" w:rsidRPr="00032E05" w:rsidRDefault="002B3442" w:rsidP="002B3442">
            <w:pPr>
              <w:spacing w:before="120"/>
              <w:jc w:val="both"/>
              <w:rPr>
                <w:rFonts w:ascii="Arial" w:hAnsi="Arial" w:cs="Arial"/>
                <w:sz w:val="20"/>
                <w:szCs w:val="20"/>
                <w:lang w:val="en-GB"/>
              </w:rPr>
            </w:pPr>
            <w:r w:rsidRPr="00032E05">
              <w:rPr>
                <w:rFonts w:ascii="Arial" w:hAnsi="Arial" w:cs="Arial"/>
                <w:sz w:val="20"/>
                <w:szCs w:val="20"/>
                <w:lang w:val="en-GB"/>
              </w:rPr>
              <w:t>Hours: 8:00 to 17:00</w:t>
            </w:r>
          </w:p>
          <w:p w14:paraId="4A5E9228" w14:textId="77777777" w:rsidR="002B3442" w:rsidRPr="00032E05" w:rsidRDefault="002B3442" w:rsidP="002B3442">
            <w:pPr>
              <w:spacing w:before="120"/>
              <w:jc w:val="both"/>
              <w:rPr>
                <w:rFonts w:ascii="Arial" w:hAnsi="Arial" w:cs="Arial"/>
                <w:sz w:val="20"/>
                <w:szCs w:val="20"/>
                <w:lang w:val="en-GB"/>
              </w:rPr>
            </w:pPr>
            <w:r w:rsidRPr="00032E05">
              <w:rPr>
                <w:rFonts w:ascii="Arial" w:hAnsi="Arial" w:cs="Arial"/>
                <w:sz w:val="20"/>
                <w:szCs w:val="20"/>
                <w:lang w:val="en-GB"/>
              </w:rPr>
              <w:t xml:space="preserve">Competent officer: Juan Pablo Herrera Saavedra </w:t>
            </w:r>
            <w:r>
              <w:rPr>
                <w:rFonts w:ascii="Arial" w:hAnsi="Arial" w:cs="Arial"/>
                <w:sz w:val="20"/>
                <w:szCs w:val="20"/>
                <w:lang w:val="en-GB"/>
              </w:rPr>
              <w:t>- Deputy Superintendent of Competition Protection.</w:t>
            </w:r>
          </w:p>
          <w:p w14:paraId="2919F22F" w14:textId="77777777" w:rsidR="002B3442" w:rsidRPr="001C7472" w:rsidRDefault="002B3442" w:rsidP="002B3442">
            <w:pPr>
              <w:spacing w:before="120"/>
              <w:jc w:val="both"/>
              <w:rPr>
                <w:rStyle w:val="Textoennegrita"/>
                <w:rFonts w:ascii="Arial" w:hAnsi="Arial" w:cs="Arial"/>
                <w:color w:val="777777"/>
                <w:sz w:val="20"/>
                <w:szCs w:val="20"/>
                <w:shd w:val="clear" w:color="auto" w:fill="FFFFFF"/>
              </w:rPr>
            </w:pPr>
            <w:r w:rsidRPr="00032E05">
              <w:rPr>
                <w:rFonts w:ascii="Arial" w:hAnsi="Arial" w:cs="Arial"/>
                <w:sz w:val="20"/>
                <w:szCs w:val="20"/>
                <w:lang w:val="en-GB"/>
              </w:rPr>
              <w:t xml:space="preserve">Email address: </w:t>
            </w:r>
            <w:hyperlink r:id="rId38" w:history="1">
              <w:r w:rsidRPr="00042430">
                <w:rPr>
                  <w:rStyle w:val="Hipervnculo"/>
                  <w:rFonts w:ascii="Arial" w:hAnsi="Arial" w:cs="Arial"/>
                  <w:sz w:val="20"/>
                  <w:szCs w:val="20"/>
                  <w:lang w:val="en-GB"/>
                </w:rPr>
                <w:t>delprotecompetencia@sic.gov.co</w:t>
              </w:r>
            </w:hyperlink>
            <w:r>
              <w:rPr>
                <w:rFonts w:ascii="Arial" w:hAnsi="Arial" w:cs="Arial"/>
                <w:sz w:val="20"/>
                <w:szCs w:val="20"/>
                <w:lang w:val="en-GB"/>
              </w:rPr>
              <w:t xml:space="preserve">, </w:t>
            </w:r>
            <w:hyperlink r:id="rId39" w:history="1">
              <w:r w:rsidRPr="00042430">
                <w:rPr>
                  <w:rStyle w:val="Hipervnculo"/>
                  <w:rFonts w:ascii="Arial" w:hAnsi="Arial" w:cs="Arial"/>
                  <w:sz w:val="20"/>
                  <w:szCs w:val="20"/>
                  <w:shd w:val="clear" w:color="auto" w:fill="FFFFFF"/>
                </w:rPr>
                <w:t>delacion@sic.gov.co</w:t>
              </w:r>
            </w:hyperlink>
          </w:p>
          <w:p w14:paraId="636CACE5" w14:textId="77777777" w:rsidR="007B7C69" w:rsidRPr="00C3537E" w:rsidRDefault="007B7C69">
            <w:pPr>
              <w:spacing w:before="120"/>
              <w:rPr>
                <w:rFonts w:ascii="Arial" w:hAnsi="Arial" w:cs="Arial"/>
                <w:sz w:val="20"/>
                <w:lang w:val="en-GB"/>
              </w:rPr>
            </w:pPr>
          </w:p>
        </w:tc>
      </w:tr>
      <w:tr w:rsidR="007B7C69" w:rsidRPr="00C3537E" w14:paraId="3F391AD3" w14:textId="77777777" w:rsidTr="00F87CF4">
        <w:tblPrEx>
          <w:shd w:val="clear" w:color="auto" w:fill="auto"/>
        </w:tblPrEx>
        <w:tc>
          <w:tcPr>
            <w:tcW w:w="3440" w:type="dxa"/>
            <w:tcBorders>
              <w:left w:val="nil"/>
            </w:tcBorders>
            <w:shd w:val="clear" w:color="auto" w:fill="F3DFC3"/>
          </w:tcPr>
          <w:p w14:paraId="1CBBFA3E" w14:textId="77777777" w:rsidR="007B7C69" w:rsidRPr="00C3537E" w:rsidRDefault="007B7C69" w:rsidP="004A7A14">
            <w:pPr>
              <w:numPr>
                <w:ilvl w:val="0"/>
                <w:numId w:val="21"/>
              </w:numPr>
              <w:spacing w:before="120" w:after="120"/>
              <w:rPr>
                <w:rFonts w:ascii="Arial" w:hAnsi="Arial" w:cs="Arial"/>
                <w:b/>
                <w:bCs/>
                <w:sz w:val="20"/>
                <w:lang w:val="en-GB"/>
              </w:rPr>
            </w:pPr>
            <w:r w:rsidRPr="00C3537E">
              <w:rPr>
                <w:rFonts w:ascii="Arial" w:hAnsi="Arial" w:cs="Arial"/>
                <w:b/>
                <w:bCs/>
                <w:sz w:val="20"/>
                <w:lang w:val="en-GB"/>
              </w:rPr>
              <w:t>Does the policy address the possibility of leniency being revoked? If yes, describe the circumstances where revocation would occur. Can an appeal be made against a decision to revoke leniency?</w:t>
            </w:r>
          </w:p>
        </w:tc>
        <w:tc>
          <w:tcPr>
            <w:tcW w:w="5822" w:type="dxa"/>
            <w:tcBorders>
              <w:right w:val="nil"/>
            </w:tcBorders>
          </w:tcPr>
          <w:p w14:paraId="727BDA1D"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Yes, it does. By virtue of Article 2.2.2.29.3.1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the awarded benefits can be revoked: </w:t>
            </w:r>
          </w:p>
          <w:p w14:paraId="146B7037" w14:textId="0BC94BFD" w:rsidR="002B3442" w:rsidRDefault="002B3442" w:rsidP="002B3442">
            <w:pPr>
              <w:numPr>
                <w:ilvl w:val="1"/>
                <w:numId w:val="14"/>
              </w:numPr>
              <w:tabs>
                <w:tab w:val="clear" w:pos="1080"/>
              </w:tabs>
              <w:spacing w:before="120"/>
              <w:ind w:left="370"/>
              <w:jc w:val="both"/>
              <w:rPr>
                <w:rFonts w:ascii="Arial" w:hAnsi="Arial" w:cs="Arial"/>
                <w:sz w:val="20"/>
                <w:szCs w:val="20"/>
                <w:lang w:val="en-GB"/>
              </w:rPr>
            </w:pPr>
            <w:r>
              <w:rPr>
                <w:rFonts w:ascii="Arial" w:hAnsi="Arial" w:cs="Arial"/>
                <w:sz w:val="20"/>
                <w:szCs w:val="20"/>
                <w:lang w:val="en-GB"/>
              </w:rPr>
              <w:t xml:space="preserve">When the </w:t>
            </w:r>
            <w:r w:rsidR="00943190">
              <w:rPr>
                <w:rFonts w:ascii="Arial" w:hAnsi="Arial" w:cs="Arial"/>
                <w:sz w:val="20"/>
                <w:szCs w:val="20"/>
                <w:lang w:val="en-GB"/>
              </w:rPr>
              <w:t xml:space="preserve">leniency applicant </w:t>
            </w:r>
            <w:r>
              <w:rPr>
                <w:rFonts w:ascii="Arial" w:hAnsi="Arial" w:cs="Arial"/>
                <w:sz w:val="20"/>
                <w:szCs w:val="20"/>
                <w:lang w:val="en-GB"/>
              </w:rPr>
              <w:t xml:space="preserve">questions the facts acknowledge in the leniency program during the investigation. </w:t>
            </w:r>
          </w:p>
          <w:p w14:paraId="78BCB42F" w14:textId="2BA69586" w:rsidR="002B3442" w:rsidRDefault="002B3442" w:rsidP="002B3442">
            <w:pPr>
              <w:numPr>
                <w:ilvl w:val="1"/>
                <w:numId w:val="14"/>
              </w:numPr>
              <w:tabs>
                <w:tab w:val="clear" w:pos="1080"/>
              </w:tabs>
              <w:spacing w:before="120"/>
              <w:ind w:left="370"/>
              <w:jc w:val="both"/>
              <w:rPr>
                <w:rFonts w:ascii="Arial" w:hAnsi="Arial" w:cs="Arial"/>
                <w:sz w:val="20"/>
                <w:szCs w:val="20"/>
                <w:lang w:val="en-GB"/>
              </w:rPr>
            </w:pPr>
            <w:r>
              <w:rPr>
                <w:rFonts w:ascii="Arial" w:hAnsi="Arial" w:cs="Arial"/>
                <w:sz w:val="20"/>
                <w:szCs w:val="20"/>
                <w:lang w:val="en-GB"/>
              </w:rPr>
              <w:t xml:space="preserve">When the </w:t>
            </w:r>
            <w:r w:rsidR="00943190">
              <w:rPr>
                <w:rFonts w:ascii="Arial" w:hAnsi="Arial" w:cs="Arial"/>
                <w:sz w:val="20"/>
                <w:szCs w:val="20"/>
                <w:lang w:val="en-GB"/>
              </w:rPr>
              <w:t>leniency applicant</w:t>
            </w:r>
            <w:r>
              <w:rPr>
                <w:rFonts w:ascii="Arial" w:hAnsi="Arial" w:cs="Arial"/>
                <w:sz w:val="20"/>
                <w:szCs w:val="20"/>
                <w:lang w:val="en-GB"/>
              </w:rPr>
              <w:t xml:space="preserve"> does not </w:t>
            </w:r>
            <w:r w:rsidR="004C1048">
              <w:rPr>
                <w:rFonts w:ascii="Arial" w:hAnsi="Arial" w:cs="Arial"/>
                <w:sz w:val="20"/>
                <w:szCs w:val="20"/>
                <w:lang w:val="en-GB"/>
              </w:rPr>
              <w:t>allow</w:t>
            </w:r>
            <w:r>
              <w:rPr>
                <w:rFonts w:ascii="Arial" w:hAnsi="Arial" w:cs="Arial"/>
                <w:sz w:val="20"/>
                <w:szCs w:val="20"/>
                <w:lang w:val="en-GB"/>
              </w:rPr>
              <w:t xml:space="preserve"> to carry out testimonies to h</w:t>
            </w:r>
            <w:r w:rsidR="004C3770">
              <w:rPr>
                <w:rFonts w:ascii="Arial" w:hAnsi="Arial" w:cs="Arial"/>
                <w:sz w:val="20"/>
                <w:szCs w:val="20"/>
                <w:lang w:val="en-GB"/>
              </w:rPr>
              <w:t>is</w:t>
            </w:r>
            <w:r>
              <w:rPr>
                <w:rFonts w:ascii="Arial" w:hAnsi="Arial" w:cs="Arial"/>
                <w:sz w:val="20"/>
                <w:szCs w:val="20"/>
                <w:lang w:val="en-GB"/>
              </w:rPr>
              <w:t xml:space="preserve">/her employees. </w:t>
            </w:r>
          </w:p>
          <w:p w14:paraId="7A5976D7" w14:textId="1DEBAEB0" w:rsidR="002B3442" w:rsidRDefault="002B3442" w:rsidP="002B3442">
            <w:pPr>
              <w:numPr>
                <w:ilvl w:val="1"/>
                <w:numId w:val="14"/>
              </w:numPr>
              <w:tabs>
                <w:tab w:val="clear" w:pos="1080"/>
              </w:tabs>
              <w:spacing w:before="120"/>
              <w:ind w:left="370"/>
              <w:jc w:val="both"/>
              <w:rPr>
                <w:rFonts w:ascii="Arial" w:hAnsi="Arial" w:cs="Arial"/>
                <w:sz w:val="20"/>
                <w:szCs w:val="20"/>
                <w:lang w:val="en-GB"/>
              </w:rPr>
            </w:pPr>
            <w:r>
              <w:rPr>
                <w:rFonts w:ascii="Arial" w:hAnsi="Arial" w:cs="Arial"/>
                <w:sz w:val="20"/>
                <w:szCs w:val="20"/>
                <w:lang w:val="en-GB"/>
              </w:rPr>
              <w:t xml:space="preserve">When the </w:t>
            </w:r>
            <w:r w:rsidR="00943190">
              <w:rPr>
                <w:rFonts w:ascii="Arial" w:hAnsi="Arial" w:cs="Arial"/>
                <w:sz w:val="20"/>
                <w:szCs w:val="20"/>
                <w:lang w:val="en-GB"/>
              </w:rPr>
              <w:t xml:space="preserve">leniency applicant </w:t>
            </w:r>
            <w:r>
              <w:rPr>
                <w:rFonts w:ascii="Arial" w:hAnsi="Arial" w:cs="Arial"/>
                <w:sz w:val="20"/>
                <w:szCs w:val="20"/>
                <w:lang w:val="en-GB"/>
              </w:rPr>
              <w:t xml:space="preserve">does not answer the </w:t>
            </w:r>
            <w:r w:rsidR="004C1048">
              <w:rPr>
                <w:rFonts w:ascii="Arial" w:hAnsi="Arial" w:cs="Arial"/>
                <w:sz w:val="20"/>
                <w:szCs w:val="20"/>
                <w:lang w:val="en-GB"/>
              </w:rPr>
              <w:t>information</w:t>
            </w:r>
            <w:r>
              <w:rPr>
                <w:rFonts w:ascii="Arial" w:hAnsi="Arial" w:cs="Arial"/>
                <w:sz w:val="20"/>
                <w:szCs w:val="20"/>
                <w:lang w:val="en-GB"/>
              </w:rPr>
              <w:t xml:space="preserve"> requirements made by the Superintendence of Industry and Commerce.   </w:t>
            </w:r>
          </w:p>
          <w:p w14:paraId="55311B67" w14:textId="78EEA543" w:rsidR="002B3442" w:rsidRDefault="002B3442" w:rsidP="002B3442">
            <w:pPr>
              <w:numPr>
                <w:ilvl w:val="1"/>
                <w:numId w:val="14"/>
              </w:numPr>
              <w:tabs>
                <w:tab w:val="clear" w:pos="1080"/>
              </w:tabs>
              <w:spacing w:before="120"/>
              <w:ind w:left="370"/>
              <w:jc w:val="both"/>
              <w:rPr>
                <w:rFonts w:ascii="Arial" w:hAnsi="Arial" w:cs="Arial"/>
                <w:sz w:val="20"/>
                <w:szCs w:val="20"/>
                <w:lang w:val="en-GB"/>
              </w:rPr>
            </w:pPr>
            <w:r>
              <w:rPr>
                <w:rFonts w:ascii="Arial" w:hAnsi="Arial" w:cs="Arial"/>
                <w:sz w:val="20"/>
                <w:szCs w:val="20"/>
                <w:lang w:val="en-GB"/>
              </w:rPr>
              <w:t xml:space="preserve">When the </w:t>
            </w:r>
            <w:r w:rsidR="00943190">
              <w:rPr>
                <w:rFonts w:ascii="Arial" w:hAnsi="Arial" w:cs="Arial"/>
                <w:sz w:val="20"/>
                <w:szCs w:val="20"/>
                <w:lang w:val="en-GB"/>
              </w:rPr>
              <w:t xml:space="preserve">leniency applicant </w:t>
            </w:r>
            <w:r>
              <w:rPr>
                <w:rFonts w:ascii="Arial" w:hAnsi="Arial" w:cs="Arial"/>
                <w:sz w:val="20"/>
                <w:szCs w:val="20"/>
                <w:lang w:val="en-GB"/>
              </w:rPr>
              <w:t>destroys, alt</w:t>
            </w:r>
            <w:r w:rsidRPr="0024326D">
              <w:rPr>
                <w:rFonts w:ascii="Arial" w:hAnsi="Arial" w:cs="Arial"/>
                <w:sz w:val="20"/>
                <w:szCs w:val="20"/>
                <w:lang w:val="en-GB"/>
              </w:rPr>
              <w:t xml:space="preserve">ers, or obstructs </w:t>
            </w:r>
            <w:r>
              <w:rPr>
                <w:rFonts w:ascii="Arial" w:hAnsi="Arial" w:cs="Arial"/>
                <w:sz w:val="20"/>
                <w:szCs w:val="20"/>
                <w:lang w:val="en-GB"/>
              </w:rPr>
              <w:t xml:space="preserve">the access to information or importance evidence regarding the presumed restrictive agreement. </w:t>
            </w:r>
          </w:p>
          <w:p w14:paraId="57F51DA7" w14:textId="6F88313B" w:rsidR="00CD7943" w:rsidRDefault="002B3442" w:rsidP="002B3442">
            <w:pPr>
              <w:numPr>
                <w:ilvl w:val="1"/>
                <w:numId w:val="14"/>
              </w:numPr>
              <w:tabs>
                <w:tab w:val="clear" w:pos="1080"/>
              </w:tabs>
              <w:spacing w:before="120"/>
              <w:ind w:left="370"/>
              <w:jc w:val="both"/>
              <w:rPr>
                <w:rFonts w:ascii="Arial" w:hAnsi="Arial" w:cs="Arial"/>
                <w:sz w:val="20"/>
                <w:szCs w:val="20"/>
                <w:lang w:val="en-GB"/>
              </w:rPr>
            </w:pPr>
            <w:r>
              <w:rPr>
                <w:rFonts w:ascii="Arial" w:hAnsi="Arial" w:cs="Arial"/>
                <w:sz w:val="20"/>
                <w:szCs w:val="20"/>
                <w:lang w:val="en-GB"/>
              </w:rPr>
              <w:t xml:space="preserve">When it has been proved the </w:t>
            </w:r>
            <w:r w:rsidR="00943190">
              <w:rPr>
                <w:rFonts w:ascii="Arial" w:hAnsi="Arial" w:cs="Arial"/>
                <w:sz w:val="20"/>
                <w:szCs w:val="20"/>
                <w:lang w:val="en-GB"/>
              </w:rPr>
              <w:t xml:space="preserve">leniency applicant </w:t>
            </w:r>
            <w:r>
              <w:rPr>
                <w:rFonts w:ascii="Arial" w:hAnsi="Arial" w:cs="Arial"/>
                <w:sz w:val="20"/>
                <w:szCs w:val="20"/>
                <w:lang w:val="en-GB"/>
              </w:rPr>
              <w:t>was the instigator or promoter of the restrictive agreement, and</w:t>
            </w:r>
          </w:p>
          <w:p w14:paraId="717F6456" w14:textId="1C16C50B" w:rsidR="007B7C69" w:rsidRPr="00CD7943" w:rsidRDefault="002B3442" w:rsidP="002B3442">
            <w:pPr>
              <w:numPr>
                <w:ilvl w:val="1"/>
                <w:numId w:val="14"/>
              </w:numPr>
              <w:tabs>
                <w:tab w:val="clear" w:pos="1080"/>
              </w:tabs>
              <w:spacing w:before="120"/>
              <w:ind w:left="370"/>
              <w:jc w:val="both"/>
              <w:rPr>
                <w:rFonts w:ascii="Arial" w:hAnsi="Arial" w:cs="Arial"/>
                <w:sz w:val="20"/>
                <w:szCs w:val="20"/>
                <w:lang w:val="en-GB"/>
              </w:rPr>
            </w:pPr>
            <w:r w:rsidRPr="00CD7943">
              <w:rPr>
                <w:rFonts w:ascii="Arial" w:hAnsi="Arial" w:cs="Arial"/>
                <w:sz w:val="20"/>
                <w:szCs w:val="20"/>
                <w:lang w:val="en-GB"/>
              </w:rPr>
              <w:t xml:space="preserve">When the </w:t>
            </w:r>
            <w:r w:rsidR="00943190">
              <w:rPr>
                <w:rFonts w:ascii="Arial" w:hAnsi="Arial" w:cs="Arial"/>
                <w:sz w:val="20"/>
                <w:szCs w:val="20"/>
                <w:lang w:val="en-GB"/>
              </w:rPr>
              <w:t xml:space="preserve">leniency applicant </w:t>
            </w:r>
            <w:r w:rsidRPr="00CD7943">
              <w:rPr>
                <w:rFonts w:ascii="Arial" w:hAnsi="Arial" w:cs="Arial"/>
                <w:sz w:val="20"/>
                <w:szCs w:val="20"/>
                <w:lang w:val="en-GB"/>
              </w:rPr>
              <w:t>breaches any of the obligations set forth in the leniency agreement.</w:t>
            </w:r>
          </w:p>
        </w:tc>
      </w:tr>
      <w:tr w:rsidR="007B7C69" w:rsidRPr="00C3537E" w14:paraId="39E46204" w14:textId="77777777" w:rsidTr="00F87CF4">
        <w:tblPrEx>
          <w:shd w:val="clear" w:color="auto" w:fill="auto"/>
        </w:tblPrEx>
        <w:tc>
          <w:tcPr>
            <w:tcW w:w="3440" w:type="dxa"/>
            <w:tcBorders>
              <w:left w:val="nil"/>
            </w:tcBorders>
            <w:shd w:val="clear" w:color="auto" w:fill="F3DFC3"/>
          </w:tcPr>
          <w:p w14:paraId="0CC6D391" w14:textId="77777777" w:rsidR="007B7C69" w:rsidRPr="00C3537E" w:rsidRDefault="007B7C69" w:rsidP="007B7C69">
            <w:pPr>
              <w:numPr>
                <w:ilvl w:val="0"/>
                <w:numId w:val="21"/>
              </w:numPr>
              <w:spacing w:before="120" w:after="120"/>
              <w:rPr>
                <w:rFonts w:ascii="Arial" w:hAnsi="Arial" w:cs="Arial"/>
                <w:b/>
                <w:bCs/>
                <w:sz w:val="20"/>
                <w:lang w:val="en-GB"/>
              </w:rPr>
            </w:pPr>
            <w:r w:rsidRPr="00C3537E">
              <w:rPr>
                <w:rFonts w:ascii="Arial" w:hAnsi="Arial" w:cs="Arial"/>
                <w:b/>
                <w:bCs/>
                <w:sz w:val="20"/>
                <w:lang w:val="en-GB"/>
              </w:rPr>
              <w:t>Does your policy allow for “affirmative leniency”, that is the possibility of the agency approaching potential leniency applicants?</w:t>
            </w:r>
          </w:p>
        </w:tc>
        <w:tc>
          <w:tcPr>
            <w:tcW w:w="5822" w:type="dxa"/>
            <w:tcBorders>
              <w:right w:val="nil"/>
            </w:tcBorders>
          </w:tcPr>
          <w:p w14:paraId="42AF1D05" w14:textId="77777777" w:rsidR="002B3442" w:rsidRDefault="002B3442" w:rsidP="002B3442">
            <w:pPr>
              <w:spacing w:before="120"/>
              <w:jc w:val="both"/>
              <w:rPr>
                <w:rFonts w:ascii="Arial" w:hAnsi="Arial" w:cs="Arial"/>
                <w:sz w:val="20"/>
                <w:szCs w:val="20"/>
              </w:rPr>
            </w:pPr>
            <w:r>
              <w:rPr>
                <w:rFonts w:ascii="Arial" w:hAnsi="Arial" w:cs="Arial"/>
                <w:sz w:val="20"/>
                <w:szCs w:val="20"/>
                <w:lang w:val="en-GB"/>
              </w:rPr>
              <w:t>T</w:t>
            </w:r>
            <w:r w:rsidRPr="001C7472">
              <w:rPr>
                <w:rFonts w:ascii="Arial" w:hAnsi="Arial" w:cs="Arial"/>
                <w:sz w:val="20"/>
                <w:szCs w:val="20"/>
                <w:lang w:val="en-GB"/>
              </w:rPr>
              <w:t xml:space="preserve">he </w:t>
            </w:r>
            <w:r>
              <w:rPr>
                <w:rFonts w:ascii="Arial" w:hAnsi="Arial" w:cs="Arial"/>
                <w:sz w:val="20"/>
                <w:szCs w:val="20"/>
                <w:lang w:val="en-GB"/>
              </w:rPr>
              <w:t>legal framework</w:t>
            </w:r>
            <w:r w:rsidRPr="001C7472">
              <w:rPr>
                <w:rFonts w:ascii="Arial" w:hAnsi="Arial" w:cs="Arial"/>
                <w:sz w:val="20"/>
                <w:szCs w:val="20"/>
                <w:lang w:val="en-GB"/>
              </w:rPr>
              <w:t xml:space="preserve"> do not establish anything in that regard. However, when there is some certainty about the existence of a cartel, the staff </w:t>
            </w:r>
            <w:r>
              <w:rPr>
                <w:rFonts w:ascii="Arial" w:hAnsi="Arial" w:cs="Arial"/>
                <w:sz w:val="20"/>
                <w:szCs w:val="20"/>
                <w:lang w:val="en-GB"/>
              </w:rPr>
              <w:t>undertaking</w:t>
            </w:r>
            <w:r w:rsidRPr="001C7472">
              <w:rPr>
                <w:rFonts w:ascii="Arial" w:hAnsi="Arial" w:cs="Arial"/>
                <w:sz w:val="20"/>
                <w:szCs w:val="20"/>
                <w:lang w:val="en-GB"/>
              </w:rPr>
              <w:t xml:space="preserve"> some proceedings (i.e. a dawn </w:t>
            </w:r>
            <w:r w:rsidRPr="001C7472">
              <w:rPr>
                <w:rFonts w:ascii="Arial" w:hAnsi="Arial" w:cs="Arial"/>
                <w:sz w:val="20"/>
                <w:szCs w:val="20"/>
              </w:rPr>
              <w:t xml:space="preserve">raid or a testominy) can advise the person to participate in the program or </w:t>
            </w:r>
            <w:r>
              <w:rPr>
                <w:rFonts w:ascii="Arial" w:hAnsi="Arial" w:cs="Arial"/>
                <w:sz w:val="20"/>
                <w:szCs w:val="20"/>
              </w:rPr>
              <w:t>may give information about</w:t>
            </w:r>
            <w:r w:rsidRPr="001C7472">
              <w:rPr>
                <w:rFonts w:ascii="Arial" w:hAnsi="Arial" w:cs="Arial"/>
                <w:sz w:val="20"/>
                <w:szCs w:val="20"/>
              </w:rPr>
              <w:t xml:space="preserve"> its </w:t>
            </w:r>
            <w:r>
              <w:rPr>
                <w:rFonts w:ascii="Arial" w:hAnsi="Arial" w:cs="Arial"/>
                <w:sz w:val="20"/>
                <w:szCs w:val="20"/>
              </w:rPr>
              <w:t>functioning</w:t>
            </w:r>
            <w:r w:rsidRPr="001C7472">
              <w:rPr>
                <w:rFonts w:ascii="Arial" w:hAnsi="Arial" w:cs="Arial"/>
                <w:sz w:val="20"/>
                <w:szCs w:val="20"/>
              </w:rPr>
              <w:t xml:space="preserve"> and benefits.</w:t>
            </w:r>
          </w:p>
          <w:p w14:paraId="52F91D42" w14:textId="77777777" w:rsidR="007B7C69" w:rsidRPr="00C3537E" w:rsidRDefault="007B7C69">
            <w:pPr>
              <w:spacing w:before="120"/>
              <w:rPr>
                <w:rFonts w:ascii="Arial" w:hAnsi="Arial" w:cs="Arial"/>
                <w:sz w:val="20"/>
                <w:lang w:val="en-GB"/>
              </w:rPr>
            </w:pPr>
          </w:p>
        </w:tc>
      </w:tr>
      <w:tr w:rsidR="00DE31AD" w:rsidRPr="00C3537E" w14:paraId="7CE19945" w14:textId="77777777" w:rsidTr="00F87CF4">
        <w:tblPrEx>
          <w:shd w:val="clear" w:color="auto" w:fill="auto"/>
        </w:tblPrEx>
        <w:tc>
          <w:tcPr>
            <w:tcW w:w="3440" w:type="dxa"/>
            <w:tcBorders>
              <w:left w:val="nil"/>
            </w:tcBorders>
            <w:shd w:val="clear" w:color="auto" w:fill="F3DFC3"/>
          </w:tcPr>
          <w:p w14:paraId="099102A8" w14:textId="77777777" w:rsidR="00DE31AD" w:rsidRPr="00C3537E" w:rsidRDefault="00DE31AD" w:rsidP="00A922D7">
            <w:pPr>
              <w:numPr>
                <w:ilvl w:val="0"/>
                <w:numId w:val="21"/>
              </w:numPr>
              <w:spacing w:before="120" w:after="120"/>
              <w:rPr>
                <w:rFonts w:ascii="Arial" w:hAnsi="Arial" w:cs="Arial"/>
                <w:b/>
                <w:bCs/>
                <w:sz w:val="20"/>
                <w:lang w:val="en-GB"/>
              </w:rPr>
            </w:pPr>
            <w:r w:rsidRPr="00C3537E">
              <w:rPr>
                <w:rFonts w:ascii="Arial" w:hAnsi="Arial" w:cs="Arial"/>
                <w:b/>
                <w:bCs/>
                <w:sz w:val="20"/>
                <w:lang w:val="en-GB"/>
              </w:rPr>
              <w:t xml:space="preserve">Does your authority have rules to protect leniency material </w:t>
            </w:r>
            <w:r w:rsidRPr="002B3442">
              <w:rPr>
                <w:rFonts w:ascii="Arial" w:hAnsi="Arial" w:cs="Arial"/>
                <w:b/>
                <w:bCs/>
                <w:sz w:val="20"/>
                <w:lang w:val="en-GB"/>
              </w:rPr>
              <w:t>from disclosure? If yes, please elaborate</w:t>
            </w:r>
            <w:r w:rsidR="00A922D7" w:rsidRPr="002B3442">
              <w:rPr>
                <w:rFonts w:ascii="Arial" w:hAnsi="Arial" w:cs="Arial"/>
                <w:b/>
                <w:bCs/>
                <w:sz w:val="20"/>
                <w:lang w:val="en-GB"/>
              </w:rPr>
              <w:t xml:space="preserve"> which parts are protected and what does protection actually mean</w:t>
            </w:r>
            <w:r w:rsidRPr="002B3442">
              <w:rPr>
                <w:rFonts w:ascii="Arial" w:hAnsi="Arial" w:cs="Arial"/>
                <w:b/>
                <w:bCs/>
                <w:sz w:val="20"/>
                <w:lang w:val="en-GB"/>
              </w:rPr>
              <w:t>.</w:t>
            </w:r>
          </w:p>
        </w:tc>
        <w:tc>
          <w:tcPr>
            <w:tcW w:w="5822" w:type="dxa"/>
            <w:tcBorders>
              <w:right w:val="nil"/>
            </w:tcBorders>
          </w:tcPr>
          <w:p w14:paraId="1B1F9A49" w14:textId="77777777" w:rsidR="002B3442" w:rsidRDefault="002B3442" w:rsidP="002B3442">
            <w:pPr>
              <w:spacing w:before="120"/>
              <w:jc w:val="both"/>
              <w:rPr>
                <w:rFonts w:ascii="Arial" w:hAnsi="Arial" w:cs="Arial"/>
                <w:sz w:val="20"/>
                <w:szCs w:val="20"/>
                <w:lang w:val="en-GB"/>
              </w:rPr>
            </w:pPr>
            <w:r>
              <w:rPr>
                <w:rFonts w:ascii="Arial" w:hAnsi="Arial" w:cs="Arial"/>
                <w:sz w:val="20"/>
                <w:szCs w:val="20"/>
                <w:lang w:val="en-GB"/>
              </w:rPr>
              <w:t>Article 2.2.2.29.4.3 of</w:t>
            </w:r>
            <w:r w:rsidRPr="007A7676">
              <w:rPr>
                <w:rFonts w:ascii="Arial" w:hAnsi="Arial" w:cs="Arial"/>
                <w:sz w:val="20"/>
                <w:szCs w:val="20"/>
                <w:lang w:val="en-GB"/>
              </w:rPr>
              <w:t xml:space="preserve"> Decree </w:t>
            </w:r>
            <w:r>
              <w:rPr>
                <w:rFonts w:ascii="Arial" w:hAnsi="Arial" w:cs="Arial"/>
                <w:sz w:val="20"/>
                <w:szCs w:val="20"/>
                <w:lang w:val="en-GB"/>
              </w:rPr>
              <w:t xml:space="preserve">1523 </w:t>
            </w:r>
            <w:r w:rsidRPr="006814A6">
              <w:rPr>
                <w:rFonts w:ascii="Arial" w:hAnsi="Arial" w:cs="Arial"/>
                <w:sz w:val="20"/>
                <w:szCs w:val="20"/>
                <w:lang w:val="en-GB"/>
              </w:rPr>
              <w:t>of 2015</w:t>
            </w:r>
            <w:r>
              <w:rPr>
                <w:rFonts w:ascii="Arial" w:hAnsi="Arial" w:cs="Arial"/>
                <w:sz w:val="20"/>
                <w:szCs w:val="20"/>
                <w:lang w:val="en-GB"/>
              </w:rPr>
              <w:t xml:space="preserve"> states that confidentiality can be awarded to the lenience procedure according to the rules set forth in paragraph 2 of Article 15 of Law 1340 of 2009. Such provision refers to the identity of the applicants.  </w:t>
            </w:r>
          </w:p>
          <w:p w14:paraId="266E9F4A" w14:textId="77777777" w:rsidR="00DE31AD" w:rsidRPr="00C3537E" w:rsidRDefault="002B3442" w:rsidP="00CD7943">
            <w:pPr>
              <w:spacing w:before="120"/>
              <w:jc w:val="both"/>
              <w:rPr>
                <w:rFonts w:ascii="Arial" w:hAnsi="Arial" w:cs="Arial"/>
                <w:sz w:val="20"/>
                <w:lang w:val="en-GB"/>
              </w:rPr>
            </w:pPr>
            <w:r>
              <w:rPr>
                <w:rFonts w:ascii="Arial" w:hAnsi="Arial" w:cs="Arial"/>
                <w:sz w:val="20"/>
                <w:szCs w:val="20"/>
                <w:lang w:val="en-GB"/>
              </w:rPr>
              <w:t>Nowadays, confidentiality is given by connecting the nature of the material received to legal criteria that allows to keep it apart</w:t>
            </w:r>
            <w:r w:rsidR="00CD7943">
              <w:rPr>
                <w:rFonts w:ascii="Arial" w:hAnsi="Arial" w:cs="Arial"/>
                <w:sz w:val="20"/>
                <w:szCs w:val="20"/>
                <w:lang w:val="en-GB"/>
              </w:rPr>
              <w:t xml:space="preserve"> (in other file)</w:t>
            </w:r>
            <w:r>
              <w:rPr>
                <w:rFonts w:ascii="Arial" w:hAnsi="Arial" w:cs="Arial"/>
                <w:sz w:val="20"/>
                <w:szCs w:val="20"/>
                <w:lang w:val="en-GB"/>
              </w:rPr>
              <w:t xml:space="preserve"> from public information (i.e. business secrets).</w:t>
            </w:r>
          </w:p>
        </w:tc>
      </w:tr>
    </w:tbl>
    <w:p w14:paraId="75C1DF87" w14:textId="77777777" w:rsidR="00371FEE" w:rsidRPr="00C3537E" w:rsidRDefault="00371FEE" w:rsidP="00CD7943">
      <w:pPr>
        <w:pStyle w:val="Textoindependiente"/>
        <w:ind w:left="0"/>
        <w:rPr>
          <w:rFonts w:ascii="Arial" w:hAnsi="Arial" w:cs="Arial"/>
          <w:lang w:val="en-GB"/>
        </w:rPr>
      </w:pPr>
    </w:p>
    <w:p w14:paraId="29A93ACD" w14:textId="77777777" w:rsidR="00801BB1" w:rsidRPr="00C3537E" w:rsidRDefault="00801BB1">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74"/>
        <w:gridCol w:w="5662"/>
      </w:tblGrid>
      <w:tr w:rsidR="00801BB1" w:rsidRPr="00C3537E" w14:paraId="5A07C83D" w14:textId="77777777" w:rsidTr="00973F76">
        <w:tc>
          <w:tcPr>
            <w:tcW w:w="9262" w:type="dxa"/>
            <w:gridSpan w:val="2"/>
            <w:shd w:val="clear" w:color="auto" w:fill="61243B"/>
          </w:tcPr>
          <w:p w14:paraId="5C418E95" w14:textId="77777777" w:rsidR="00801BB1" w:rsidRPr="00C3537E" w:rsidRDefault="00801BB1" w:rsidP="00DA295C">
            <w:pPr>
              <w:pStyle w:val="Ttulo1"/>
              <w:spacing w:before="240"/>
              <w:rPr>
                <w:rFonts w:ascii="Arial" w:hAnsi="Arial" w:cs="Arial"/>
                <w:color w:val="FFFFFF"/>
                <w:sz w:val="28"/>
                <w:lang w:val="en-GB"/>
              </w:rPr>
            </w:pPr>
            <w:r w:rsidRPr="00C3537E">
              <w:rPr>
                <w:rFonts w:ascii="Arial" w:hAnsi="Arial" w:cs="Arial"/>
                <w:color w:val="FFFFFF"/>
                <w:sz w:val="28"/>
                <w:lang w:val="en-GB"/>
              </w:rPr>
              <w:t>Settlement</w:t>
            </w:r>
          </w:p>
        </w:tc>
      </w:tr>
      <w:tr w:rsidR="002B50DF" w:rsidRPr="00C3537E" w14:paraId="7559C7F0" w14:textId="77777777" w:rsidTr="00973F76">
        <w:tblPrEx>
          <w:shd w:val="clear" w:color="auto" w:fill="auto"/>
        </w:tblPrEx>
        <w:tc>
          <w:tcPr>
            <w:tcW w:w="3436" w:type="dxa"/>
            <w:tcBorders>
              <w:left w:val="nil"/>
            </w:tcBorders>
            <w:shd w:val="clear" w:color="auto" w:fill="F3DFC3"/>
          </w:tcPr>
          <w:p w14:paraId="7799AB64" w14:textId="77777777" w:rsidR="00801BB1" w:rsidRPr="00C3537E" w:rsidRDefault="00801BB1" w:rsidP="00801BB1">
            <w:pPr>
              <w:numPr>
                <w:ilvl w:val="0"/>
                <w:numId w:val="25"/>
              </w:numPr>
              <w:spacing w:before="120" w:after="120"/>
              <w:rPr>
                <w:rFonts w:ascii="Arial" w:hAnsi="Arial" w:cs="Arial"/>
                <w:b/>
                <w:bCs/>
                <w:sz w:val="20"/>
                <w:lang w:val="en-GB"/>
              </w:rPr>
            </w:pPr>
            <w:r w:rsidRPr="00C3537E">
              <w:rPr>
                <w:rFonts w:ascii="Arial" w:hAnsi="Arial" w:cs="Arial"/>
                <w:b/>
                <w:bCs/>
                <w:sz w:val="20"/>
                <w:lang w:val="en-GB"/>
              </w:rPr>
              <w:t>Does your competition regime allow settlement?</w:t>
            </w:r>
          </w:p>
          <w:p w14:paraId="5D51165C" w14:textId="77777777" w:rsidR="00094D54" w:rsidRPr="00C3537E" w:rsidRDefault="002019CB" w:rsidP="000A7979">
            <w:pPr>
              <w:spacing w:before="120" w:after="120"/>
              <w:ind w:left="360"/>
              <w:rPr>
                <w:rFonts w:ascii="Arial" w:hAnsi="Arial" w:cs="Arial"/>
                <w:b/>
                <w:bCs/>
                <w:sz w:val="20"/>
                <w:lang w:val="en-GB"/>
              </w:rPr>
            </w:pPr>
            <w:r w:rsidRPr="00C3537E">
              <w:rPr>
                <w:rFonts w:ascii="Arial" w:hAnsi="Arial" w:cs="Arial"/>
                <w:b/>
                <w:bCs/>
                <w:sz w:val="20"/>
                <w:lang w:val="en-GB"/>
              </w:rPr>
              <w:lastRenderedPageBreak/>
              <w:t>If yes, p</w:t>
            </w:r>
            <w:r w:rsidR="00094D54" w:rsidRPr="00C3537E">
              <w:rPr>
                <w:rFonts w:ascii="Arial" w:hAnsi="Arial" w:cs="Arial"/>
                <w:b/>
                <w:bCs/>
                <w:sz w:val="20"/>
                <w:lang w:val="en-GB"/>
              </w:rPr>
              <w:t>lease indicate its public availability (link to the relevant rules, guidelines</w:t>
            </w:r>
            <w:r w:rsidR="000A7979" w:rsidRPr="00C3537E">
              <w:rPr>
                <w:rFonts w:ascii="Arial" w:hAnsi="Arial" w:cs="Arial"/>
                <w:b/>
                <w:bCs/>
                <w:sz w:val="20"/>
                <w:lang w:val="en-GB"/>
              </w:rPr>
              <w:t>, etc.]</w:t>
            </w:r>
            <w:r w:rsidR="00094D54" w:rsidRPr="00C3537E">
              <w:rPr>
                <w:rFonts w:ascii="Arial" w:hAnsi="Arial" w:cs="Arial"/>
                <w:b/>
                <w:bCs/>
                <w:sz w:val="20"/>
                <w:lang w:val="en-GB"/>
              </w:rPr>
              <w:t>.</w:t>
            </w:r>
          </w:p>
        </w:tc>
        <w:tc>
          <w:tcPr>
            <w:tcW w:w="5826" w:type="dxa"/>
            <w:tcBorders>
              <w:right w:val="nil"/>
            </w:tcBorders>
          </w:tcPr>
          <w:p w14:paraId="0AD3AB28" w14:textId="77777777" w:rsidR="00801BB1" w:rsidRPr="00C3537E" w:rsidRDefault="006D494C" w:rsidP="00131ABA">
            <w:pPr>
              <w:spacing w:before="120"/>
              <w:jc w:val="both"/>
              <w:rPr>
                <w:rFonts w:ascii="Arial" w:hAnsi="Arial" w:cs="Arial"/>
                <w:lang w:val="en-GB"/>
              </w:rPr>
            </w:pPr>
            <w:r w:rsidRPr="006D494C">
              <w:rPr>
                <w:rFonts w:ascii="Arial" w:hAnsi="Arial" w:cs="Arial"/>
                <w:sz w:val="20"/>
                <w:szCs w:val="20"/>
                <w:lang w:val="en-GB"/>
              </w:rPr>
              <w:lastRenderedPageBreak/>
              <w:t xml:space="preserve">The </w:t>
            </w:r>
            <w:r>
              <w:rPr>
                <w:rFonts w:ascii="Arial" w:hAnsi="Arial" w:cs="Arial"/>
                <w:sz w:val="20"/>
                <w:szCs w:val="20"/>
                <w:lang w:val="en-GB"/>
              </w:rPr>
              <w:t xml:space="preserve">recognition of the liability of an investigated party could imply a reduction of the fine in the final decision. According to point 15 of Article 4 of Decree 2153 </w:t>
            </w:r>
            <w:r w:rsidR="000E388E">
              <w:rPr>
                <w:rFonts w:ascii="Arial" w:hAnsi="Arial" w:cs="Arial"/>
                <w:sz w:val="20"/>
                <w:szCs w:val="20"/>
                <w:lang w:val="en-GB"/>
              </w:rPr>
              <w:t>of</w:t>
            </w:r>
            <w:r>
              <w:rPr>
                <w:rFonts w:ascii="Arial" w:hAnsi="Arial" w:cs="Arial"/>
                <w:sz w:val="20"/>
                <w:szCs w:val="20"/>
                <w:lang w:val="en-GB"/>
              </w:rPr>
              <w:t xml:space="preserve"> 1992</w:t>
            </w:r>
            <w:r w:rsidR="000E388E">
              <w:rPr>
                <w:rFonts w:ascii="Arial" w:hAnsi="Arial" w:cs="Arial"/>
                <w:sz w:val="20"/>
                <w:szCs w:val="20"/>
                <w:lang w:val="en-GB"/>
              </w:rPr>
              <w:t xml:space="preserve"> modified by the </w:t>
            </w:r>
            <w:r w:rsidR="000E388E">
              <w:rPr>
                <w:rFonts w:ascii="Arial" w:hAnsi="Arial" w:cs="Arial"/>
                <w:sz w:val="20"/>
                <w:szCs w:val="20"/>
                <w:lang w:val="en-GB"/>
              </w:rPr>
              <w:lastRenderedPageBreak/>
              <w:t xml:space="preserve">Article 25 of Law 1340 of 2009 the conduct of the investigated in the framework of the procedure could be taken as an attenuation of the fine. </w:t>
            </w:r>
          </w:p>
        </w:tc>
      </w:tr>
      <w:tr w:rsidR="002B50DF" w:rsidRPr="00C3537E" w14:paraId="19CED7FA" w14:textId="77777777" w:rsidTr="00973F76">
        <w:tblPrEx>
          <w:shd w:val="clear" w:color="auto" w:fill="auto"/>
        </w:tblPrEx>
        <w:tc>
          <w:tcPr>
            <w:tcW w:w="3436" w:type="dxa"/>
            <w:tcBorders>
              <w:left w:val="nil"/>
            </w:tcBorders>
            <w:shd w:val="clear" w:color="auto" w:fill="F3DFC3"/>
          </w:tcPr>
          <w:p w14:paraId="10583B0D" w14:textId="77777777" w:rsidR="00801BB1" w:rsidRPr="00C3537E" w:rsidRDefault="00801BB1" w:rsidP="00973F76">
            <w:pPr>
              <w:numPr>
                <w:ilvl w:val="0"/>
                <w:numId w:val="25"/>
              </w:numPr>
              <w:spacing w:before="120" w:after="120"/>
              <w:rPr>
                <w:rFonts w:ascii="Arial" w:hAnsi="Arial" w:cs="Arial"/>
                <w:b/>
                <w:bCs/>
                <w:sz w:val="20"/>
                <w:lang w:val="en-GB"/>
              </w:rPr>
            </w:pPr>
            <w:r w:rsidRPr="00C3537E">
              <w:rPr>
                <w:rFonts w:ascii="Arial" w:hAnsi="Arial" w:cs="Arial"/>
                <w:b/>
                <w:sz w:val="20"/>
                <w:lang w:val="en-GB"/>
              </w:rPr>
              <w:lastRenderedPageBreak/>
              <w:t xml:space="preserve">Which types of restrictive agreements </w:t>
            </w:r>
            <w:r w:rsidR="00973F76" w:rsidRPr="00C3537E">
              <w:rPr>
                <w:rFonts w:ascii="Arial" w:hAnsi="Arial" w:cs="Arial"/>
                <w:b/>
                <w:sz w:val="20"/>
                <w:lang w:val="en-GB"/>
              </w:rPr>
              <w:t>are eligible for settlement</w:t>
            </w:r>
            <w:r w:rsidRPr="00C3537E">
              <w:rPr>
                <w:rFonts w:ascii="Arial" w:hAnsi="Arial" w:cs="Arial"/>
                <w:b/>
                <w:sz w:val="20"/>
                <w:lang w:val="en-GB"/>
              </w:rPr>
              <w:t xml:space="preserve"> [e.g. </w:t>
            </w:r>
            <w:r w:rsidR="00973F76" w:rsidRPr="00C3537E">
              <w:rPr>
                <w:rFonts w:ascii="Arial" w:hAnsi="Arial" w:cs="Arial"/>
                <w:b/>
                <w:sz w:val="20"/>
                <w:lang w:val="en-GB"/>
              </w:rPr>
              <w:t xml:space="preserve">hardcore </w:t>
            </w:r>
            <w:r w:rsidRPr="00C3537E">
              <w:rPr>
                <w:rFonts w:ascii="Arial" w:hAnsi="Arial" w:cs="Arial"/>
                <w:b/>
                <w:sz w:val="20"/>
                <w:lang w:val="en-GB"/>
              </w:rPr>
              <w:t>cartels</w:t>
            </w:r>
            <w:r w:rsidR="00973F76" w:rsidRPr="00C3537E">
              <w:rPr>
                <w:rFonts w:ascii="Arial" w:hAnsi="Arial" w:cs="Arial"/>
                <w:b/>
                <w:sz w:val="20"/>
                <w:lang w:val="en-GB"/>
              </w:rPr>
              <w:t>, other types of cartels, vertical agreements only …]</w:t>
            </w:r>
            <w:r w:rsidRPr="00C3537E">
              <w:rPr>
                <w:rFonts w:ascii="Arial" w:hAnsi="Arial" w:cs="Arial"/>
                <w:b/>
                <w:sz w:val="20"/>
                <w:lang w:val="en-GB"/>
              </w:rPr>
              <w:t>?</w:t>
            </w:r>
          </w:p>
        </w:tc>
        <w:tc>
          <w:tcPr>
            <w:tcW w:w="5826" w:type="dxa"/>
            <w:tcBorders>
              <w:right w:val="nil"/>
            </w:tcBorders>
          </w:tcPr>
          <w:p w14:paraId="23DE14C0" w14:textId="77777777" w:rsidR="00801BB1" w:rsidRPr="00C3537E" w:rsidRDefault="000E388E" w:rsidP="006234E0">
            <w:pPr>
              <w:spacing w:before="120"/>
              <w:jc w:val="both"/>
              <w:rPr>
                <w:rFonts w:ascii="Arial" w:hAnsi="Arial" w:cs="Arial"/>
                <w:sz w:val="20"/>
                <w:lang w:val="en-GB"/>
              </w:rPr>
            </w:pPr>
            <w:r w:rsidRPr="00EC0EE9">
              <w:rPr>
                <w:rFonts w:ascii="Arial" w:hAnsi="Arial" w:cs="Arial"/>
                <w:sz w:val="20"/>
                <w:szCs w:val="20"/>
                <w:lang w:val="en-GB"/>
              </w:rPr>
              <w:t>All the restrictive</w:t>
            </w:r>
            <w:r>
              <w:rPr>
                <w:rFonts w:ascii="Arial" w:hAnsi="Arial" w:cs="Arial"/>
                <w:sz w:val="20"/>
                <w:szCs w:val="20"/>
                <w:lang w:val="en-GB"/>
              </w:rPr>
              <w:t xml:space="preserve"> practices</w:t>
            </w:r>
            <w:r w:rsidRPr="00EC0EE9">
              <w:rPr>
                <w:rFonts w:ascii="Arial" w:hAnsi="Arial" w:cs="Arial"/>
                <w:sz w:val="20"/>
                <w:szCs w:val="20"/>
                <w:lang w:val="en-GB"/>
              </w:rPr>
              <w:t xml:space="preserve"> contained in Article 47</w:t>
            </w:r>
            <w:r>
              <w:rPr>
                <w:rFonts w:ascii="Arial" w:hAnsi="Arial" w:cs="Arial"/>
                <w:sz w:val="20"/>
                <w:szCs w:val="20"/>
                <w:lang w:val="en-GB"/>
              </w:rPr>
              <w:t>, 48 and 50</w:t>
            </w:r>
            <w:r w:rsidRPr="00EC0EE9">
              <w:rPr>
                <w:rFonts w:ascii="Arial" w:hAnsi="Arial" w:cs="Arial"/>
                <w:sz w:val="20"/>
                <w:szCs w:val="20"/>
                <w:lang w:val="en-GB"/>
              </w:rPr>
              <w:t xml:space="preserve"> of Decree 2153</w:t>
            </w:r>
            <w:r>
              <w:rPr>
                <w:rFonts w:ascii="Arial" w:hAnsi="Arial" w:cs="Arial"/>
                <w:sz w:val="20"/>
                <w:szCs w:val="20"/>
                <w:lang w:val="en-GB"/>
              </w:rPr>
              <w:t xml:space="preserve"> and in the Article 1 of Law 155 of 1959</w:t>
            </w:r>
            <w:r w:rsidRPr="00EC0EE9">
              <w:rPr>
                <w:rFonts w:ascii="Arial" w:hAnsi="Arial" w:cs="Arial"/>
                <w:sz w:val="20"/>
                <w:szCs w:val="20"/>
                <w:lang w:val="en-GB"/>
              </w:rPr>
              <w:t xml:space="preserve"> are subject to a settlement. Actually, the provision applies to “violations of commercial restrictive practices”.</w:t>
            </w:r>
          </w:p>
        </w:tc>
      </w:tr>
      <w:tr w:rsidR="00973F76" w:rsidRPr="00C3537E" w14:paraId="2346161F" w14:textId="77777777" w:rsidTr="00973F76">
        <w:tblPrEx>
          <w:shd w:val="clear" w:color="auto" w:fill="auto"/>
        </w:tblPrEx>
        <w:tc>
          <w:tcPr>
            <w:tcW w:w="3436" w:type="dxa"/>
            <w:tcBorders>
              <w:left w:val="nil"/>
            </w:tcBorders>
            <w:shd w:val="clear" w:color="auto" w:fill="F3DFC3"/>
          </w:tcPr>
          <w:p w14:paraId="2F405D93" w14:textId="77777777" w:rsidR="00973F76" w:rsidRPr="00C3537E" w:rsidRDefault="00973F76" w:rsidP="00801BB1">
            <w:pPr>
              <w:numPr>
                <w:ilvl w:val="0"/>
                <w:numId w:val="25"/>
              </w:numPr>
              <w:spacing w:before="120" w:after="120"/>
              <w:rPr>
                <w:rFonts w:ascii="Arial" w:hAnsi="Arial" w:cs="Arial"/>
                <w:b/>
                <w:sz w:val="20"/>
                <w:lang w:val="en-GB"/>
              </w:rPr>
            </w:pPr>
            <w:r w:rsidRPr="00C3537E">
              <w:rPr>
                <w:rFonts w:ascii="Arial" w:hAnsi="Arial" w:cs="Arial"/>
                <w:b/>
                <w:sz w:val="20"/>
                <w:lang w:val="en-GB"/>
              </w:rPr>
              <w:t>What is the reward of the settlement for the parties?</w:t>
            </w:r>
          </w:p>
        </w:tc>
        <w:tc>
          <w:tcPr>
            <w:tcW w:w="5826" w:type="dxa"/>
            <w:tcBorders>
              <w:right w:val="nil"/>
            </w:tcBorders>
          </w:tcPr>
          <w:p w14:paraId="53529C61" w14:textId="77777777" w:rsidR="006234E0" w:rsidRPr="006234E0" w:rsidRDefault="000E388E" w:rsidP="006234E0">
            <w:pPr>
              <w:tabs>
                <w:tab w:val="left" w:pos="1215"/>
              </w:tabs>
              <w:rPr>
                <w:rFonts w:ascii="Arial" w:hAnsi="Arial" w:cs="Arial"/>
                <w:sz w:val="20"/>
                <w:lang w:val="en-GB"/>
              </w:rPr>
            </w:pPr>
            <w:r>
              <w:rPr>
                <w:rFonts w:ascii="Arial" w:hAnsi="Arial" w:cs="Arial"/>
                <w:sz w:val="20"/>
                <w:lang w:val="en-GB"/>
              </w:rPr>
              <w:t xml:space="preserve">A reduction of the fine. </w:t>
            </w:r>
            <w:r w:rsidR="006234E0">
              <w:rPr>
                <w:rFonts w:ascii="Arial" w:hAnsi="Arial" w:cs="Arial"/>
                <w:sz w:val="20"/>
                <w:lang w:val="en-GB"/>
              </w:rPr>
              <w:tab/>
            </w:r>
          </w:p>
        </w:tc>
      </w:tr>
      <w:tr w:rsidR="00973F76" w:rsidRPr="00C3537E" w14:paraId="55D49A0D" w14:textId="77777777" w:rsidTr="00973F76">
        <w:tblPrEx>
          <w:shd w:val="clear" w:color="auto" w:fill="auto"/>
        </w:tblPrEx>
        <w:tc>
          <w:tcPr>
            <w:tcW w:w="3436" w:type="dxa"/>
            <w:tcBorders>
              <w:left w:val="nil"/>
            </w:tcBorders>
            <w:shd w:val="clear" w:color="auto" w:fill="F3DFC3"/>
          </w:tcPr>
          <w:p w14:paraId="52CB77C8" w14:textId="77777777" w:rsidR="00973F76" w:rsidRPr="00C3537E" w:rsidRDefault="00973F76" w:rsidP="004E556E">
            <w:pPr>
              <w:numPr>
                <w:ilvl w:val="0"/>
                <w:numId w:val="25"/>
              </w:numPr>
              <w:spacing w:before="120" w:after="120"/>
              <w:rPr>
                <w:rFonts w:ascii="Arial" w:hAnsi="Arial" w:cs="Arial"/>
                <w:sz w:val="20"/>
                <w:szCs w:val="20"/>
                <w:lang w:val="en-GB"/>
              </w:rPr>
            </w:pPr>
            <w:r w:rsidRPr="00C3537E">
              <w:rPr>
                <w:rStyle w:val="Textoennegrita"/>
                <w:rFonts w:ascii="Arial" w:hAnsi="Arial" w:cs="Arial"/>
                <w:color w:val="000000"/>
                <w:sz w:val="20"/>
                <w:szCs w:val="20"/>
                <w:lang w:val="en-GB"/>
              </w:rPr>
              <w:t xml:space="preserve">May </w:t>
            </w:r>
            <w:r w:rsidR="004E556E" w:rsidRPr="00C3537E">
              <w:rPr>
                <w:rStyle w:val="Textoennegrita"/>
                <w:rFonts w:ascii="Arial" w:hAnsi="Arial" w:cs="Arial"/>
                <w:color w:val="000000"/>
                <w:sz w:val="20"/>
                <w:szCs w:val="20"/>
                <w:lang w:val="en-GB"/>
              </w:rPr>
              <w:t xml:space="preserve">a </w:t>
            </w:r>
            <w:r w:rsidRPr="00C3537E">
              <w:rPr>
                <w:rStyle w:val="Textoennegrita"/>
                <w:rFonts w:ascii="Arial" w:hAnsi="Arial" w:cs="Arial"/>
                <w:color w:val="000000"/>
                <w:sz w:val="20"/>
                <w:szCs w:val="20"/>
                <w:lang w:val="en-GB"/>
              </w:rPr>
              <w:t>reduction for settling be cumulated with a leniency reward?</w:t>
            </w:r>
          </w:p>
        </w:tc>
        <w:tc>
          <w:tcPr>
            <w:tcW w:w="5826" w:type="dxa"/>
            <w:tcBorders>
              <w:right w:val="nil"/>
            </w:tcBorders>
          </w:tcPr>
          <w:p w14:paraId="62BF094C" w14:textId="556EE6A4" w:rsidR="00973F76" w:rsidRPr="00C3537E" w:rsidRDefault="006234E0" w:rsidP="006234E0">
            <w:pPr>
              <w:spacing w:before="120"/>
              <w:jc w:val="both"/>
              <w:rPr>
                <w:rFonts w:ascii="Arial" w:hAnsi="Arial" w:cs="Arial"/>
                <w:sz w:val="20"/>
                <w:lang w:val="en-GB"/>
              </w:rPr>
            </w:pPr>
            <w:r w:rsidRPr="0024326D">
              <w:rPr>
                <w:rFonts w:ascii="Arial" w:hAnsi="Arial" w:cs="Arial"/>
                <w:sz w:val="20"/>
                <w:szCs w:val="20"/>
                <w:lang w:val="en-GB"/>
              </w:rPr>
              <w:t xml:space="preserve">The Colombian competition regime does not provide an express provision in this regard. However, </w:t>
            </w:r>
            <w:r>
              <w:rPr>
                <w:rFonts w:ascii="Arial" w:hAnsi="Arial" w:cs="Arial"/>
                <w:sz w:val="20"/>
                <w:szCs w:val="20"/>
                <w:lang w:val="en-GB"/>
              </w:rPr>
              <w:t xml:space="preserve">SIC precedents have </w:t>
            </w:r>
            <w:r w:rsidRPr="006B73AA">
              <w:rPr>
                <w:rFonts w:ascii="Arial" w:hAnsi="Arial" w:cs="Arial"/>
                <w:sz w:val="20"/>
                <w:szCs w:val="20"/>
                <w:lang w:val="en-GB"/>
              </w:rPr>
              <w:t xml:space="preserve">established that a reduction </w:t>
            </w:r>
            <w:r w:rsidR="000E388E">
              <w:rPr>
                <w:rFonts w:ascii="Arial" w:hAnsi="Arial" w:cs="Arial"/>
                <w:sz w:val="20"/>
                <w:szCs w:val="20"/>
                <w:lang w:val="en-GB"/>
              </w:rPr>
              <w:t xml:space="preserve">of the fine </w:t>
            </w:r>
            <w:r w:rsidRPr="006B73AA">
              <w:rPr>
                <w:rFonts w:ascii="Arial" w:hAnsi="Arial" w:cs="Arial"/>
                <w:sz w:val="20"/>
                <w:szCs w:val="20"/>
                <w:lang w:val="en-GB"/>
              </w:rPr>
              <w:t>and a leniency reward are exclusive</w:t>
            </w:r>
            <w:r w:rsidR="00223853">
              <w:rPr>
                <w:rFonts w:ascii="Arial" w:hAnsi="Arial" w:cs="Arial"/>
                <w:sz w:val="20"/>
                <w:szCs w:val="20"/>
                <w:lang w:val="en-GB"/>
              </w:rPr>
              <w:t xml:space="preserve"> instruments</w:t>
            </w:r>
            <w:r w:rsidRPr="006B73AA">
              <w:rPr>
                <w:rFonts w:ascii="Arial" w:hAnsi="Arial" w:cs="Arial"/>
                <w:sz w:val="20"/>
                <w:szCs w:val="20"/>
                <w:lang w:val="en-GB"/>
              </w:rPr>
              <w:t xml:space="preserve">. </w:t>
            </w:r>
          </w:p>
        </w:tc>
      </w:tr>
      <w:tr w:rsidR="002B50DF" w:rsidRPr="00C3537E" w14:paraId="00ED4FB9" w14:textId="77777777" w:rsidTr="00973F76">
        <w:tblPrEx>
          <w:shd w:val="clear" w:color="auto" w:fill="auto"/>
        </w:tblPrEx>
        <w:tc>
          <w:tcPr>
            <w:tcW w:w="3436" w:type="dxa"/>
            <w:tcBorders>
              <w:left w:val="nil"/>
            </w:tcBorders>
            <w:shd w:val="clear" w:color="auto" w:fill="F3DFC3"/>
          </w:tcPr>
          <w:p w14:paraId="5826BEB6" w14:textId="77777777" w:rsidR="00801BB1" w:rsidRPr="00C3537E" w:rsidRDefault="00801BB1" w:rsidP="002B50DF">
            <w:pPr>
              <w:numPr>
                <w:ilvl w:val="0"/>
                <w:numId w:val="25"/>
              </w:numPr>
              <w:spacing w:before="120" w:after="120"/>
              <w:rPr>
                <w:rFonts w:ascii="Arial" w:hAnsi="Arial" w:cs="Arial"/>
                <w:b/>
                <w:bCs/>
                <w:sz w:val="20"/>
                <w:lang w:val="en-GB"/>
              </w:rPr>
            </w:pPr>
            <w:r w:rsidRPr="00C3537E">
              <w:rPr>
                <w:rFonts w:ascii="Arial" w:hAnsi="Arial" w:cs="Arial"/>
                <w:b/>
                <w:sz w:val="20"/>
                <w:lang w:val="en-GB"/>
              </w:rPr>
              <w:t xml:space="preserve">List the criteria (if there is any) determining the cases which are suitable </w:t>
            </w:r>
            <w:r w:rsidR="002B50DF" w:rsidRPr="00C3537E">
              <w:rPr>
                <w:rFonts w:ascii="Arial" w:hAnsi="Arial" w:cs="Arial"/>
                <w:b/>
                <w:sz w:val="20"/>
                <w:lang w:val="en-GB"/>
              </w:rPr>
              <w:t>for settlement.</w:t>
            </w:r>
          </w:p>
        </w:tc>
        <w:tc>
          <w:tcPr>
            <w:tcW w:w="5826" w:type="dxa"/>
            <w:tcBorders>
              <w:right w:val="nil"/>
            </w:tcBorders>
          </w:tcPr>
          <w:p w14:paraId="616F2BB9" w14:textId="77777777" w:rsidR="004F39AF" w:rsidRPr="006234E0" w:rsidRDefault="000E388E" w:rsidP="004F39AF">
            <w:pPr>
              <w:spacing w:before="120"/>
              <w:jc w:val="both"/>
              <w:rPr>
                <w:rFonts w:ascii="Arial" w:hAnsi="Arial" w:cs="Arial"/>
                <w:sz w:val="20"/>
                <w:lang w:val="en-GB"/>
              </w:rPr>
            </w:pPr>
            <w:r>
              <w:rPr>
                <w:rFonts w:ascii="Arial" w:hAnsi="Arial" w:cs="Arial"/>
                <w:sz w:val="20"/>
                <w:lang w:val="en-GB"/>
              </w:rPr>
              <w:t xml:space="preserve">No, the only possible case to consider a settlement is the recognition of the infringement by the investigated party. </w:t>
            </w:r>
          </w:p>
        </w:tc>
      </w:tr>
      <w:tr w:rsidR="002B50DF" w:rsidRPr="00C3537E" w14:paraId="13D8B1A2" w14:textId="77777777" w:rsidTr="00973F76">
        <w:tblPrEx>
          <w:shd w:val="clear" w:color="auto" w:fill="auto"/>
        </w:tblPrEx>
        <w:tc>
          <w:tcPr>
            <w:tcW w:w="3436" w:type="dxa"/>
            <w:tcBorders>
              <w:left w:val="nil"/>
            </w:tcBorders>
            <w:shd w:val="clear" w:color="auto" w:fill="F3DFC3"/>
          </w:tcPr>
          <w:p w14:paraId="2B1814D2" w14:textId="77777777" w:rsidR="00801BB1" w:rsidRPr="00C3537E" w:rsidRDefault="00094D54" w:rsidP="00094D54">
            <w:pPr>
              <w:numPr>
                <w:ilvl w:val="0"/>
                <w:numId w:val="25"/>
              </w:numPr>
              <w:spacing w:before="120" w:after="120"/>
              <w:rPr>
                <w:rFonts w:ascii="Arial" w:hAnsi="Arial" w:cs="Arial"/>
                <w:b/>
                <w:bCs/>
                <w:sz w:val="20"/>
                <w:lang w:val="en-GB"/>
              </w:rPr>
            </w:pPr>
            <w:r w:rsidRPr="00C3537E">
              <w:rPr>
                <w:rFonts w:ascii="Arial" w:hAnsi="Arial" w:cs="Arial"/>
                <w:b/>
                <w:bCs/>
                <w:sz w:val="20"/>
                <w:lang w:val="en-GB"/>
              </w:rPr>
              <w:t>Describe briefly the system [who can initiate settlement – your authority or the parties, whether your authority is obliged to settle if the parties initiate, in which stage of the investigation settlement may be initiated, etc.]</w:t>
            </w:r>
            <w:r w:rsidR="00370BB0" w:rsidRPr="00C3537E">
              <w:rPr>
                <w:rFonts w:ascii="Arial" w:hAnsi="Arial" w:cs="Arial"/>
                <w:b/>
                <w:bCs/>
                <w:sz w:val="20"/>
                <w:lang w:val="en-GB"/>
              </w:rPr>
              <w:t>.</w:t>
            </w:r>
          </w:p>
        </w:tc>
        <w:tc>
          <w:tcPr>
            <w:tcW w:w="5826" w:type="dxa"/>
            <w:tcBorders>
              <w:right w:val="nil"/>
            </w:tcBorders>
          </w:tcPr>
          <w:p w14:paraId="55E38100" w14:textId="77777777" w:rsidR="006234E0" w:rsidRPr="006234E0" w:rsidRDefault="000E388E" w:rsidP="006234E0">
            <w:pPr>
              <w:pStyle w:val="Ttulo3"/>
              <w:numPr>
                <w:ilvl w:val="0"/>
                <w:numId w:val="0"/>
              </w:numPr>
              <w:spacing w:after="0"/>
              <w:jc w:val="both"/>
              <w:rPr>
                <w:rFonts w:ascii="Arial" w:hAnsi="Arial" w:cs="Arial"/>
                <w:sz w:val="20"/>
              </w:rPr>
            </w:pPr>
            <w:r>
              <w:rPr>
                <w:rFonts w:ascii="Arial" w:hAnsi="Arial" w:cs="Arial"/>
                <w:sz w:val="20"/>
                <w:lang w:val="en-GB"/>
              </w:rPr>
              <w:t>Please refer to Number 7-A.</w:t>
            </w:r>
          </w:p>
        </w:tc>
      </w:tr>
      <w:tr w:rsidR="002B50DF" w:rsidRPr="00C3537E" w14:paraId="731ACAD5" w14:textId="77777777" w:rsidTr="00973F76">
        <w:tblPrEx>
          <w:shd w:val="clear" w:color="auto" w:fill="auto"/>
        </w:tblPrEx>
        <w:tc>
          <w:tcPr>
            <w:tcW w:w="3436" w:type="dxa"/>
            <w:tcBorders>
              <w:left w:val="nil"/>
            </w:tcBorders>
            <w:shd w:val="clear" w:color="auto" w:fill="F3DFC3"/>
          </w:tcPr>
          <w:p w14:paraId="7B2360BA" w14:textId="77777777" w:rsidR="00801BB1" w:rsidRPr="00C3537E" w:rsidRDefault="00094D54" w:rsidP="00772CED">
            <w:pPr>
              <w:numPr>
                <w:ilvl w:val="0"/>
                <w:numId w:val="14"/>
              </w:numPr>
              <w:spacing w:before="120" w:after="120"/>
              <w:rPr>
                <w:rFonts w:ascii="Arial" w:hAnsi="Arial" w:cs="Arial"/>
                <w:b/>
                <w:sz w:val="20"/>
                <w:lang w:val="en-GB"/>
              </w:rPr>
            </w:pPr>
            <w:r w:rsidRPr="00C3537E">
              <w:rPr>
                <w:rFonts w:ascii="Arial" w:hAnsi="Arial" w:cs="Arial"/>
                <w:b/>
                <w:sz w:val="20"/>
                <w:lang w:val="en-GB"/>
              </w:rPr>
              <w:t>Describe the procedural efficiencies of your settlement system [e.g. shorter decision, etc.]</w:t>
            </w:r>
            <w:r w:rsidR="00370BB0" w:rsidRPr="00C3537E">
              <w:rPr>
                <w:rFonts w:ascii="Arial" w:hAnsi="Arial" w:cs="Arial"/>
                <w:b/>
                <w:sz w:val="20"/>
                <w:lang w:val="en-GB"/>
              </w:rPr>
              <w:t>.</w:t>
            </w:r>
          </w:p>
        </w:tc>
        <w:tc>
          <w:tcPr>
            <w:tcW w:w="5826" w:type="dxa"/>
            <w:tcBorders>
              <w:right w:val="nil"/>
            </w:tcBorders>
          </w:tcPr>
          <w:p w14:paraId="1742A759" w14:textId="77777777" w:rsidR="00801BB1" w:rsidRPr="006234E0" w:rsidRDefault="006234E0" w:rsidP="006234E0">
            <w:pPr>
              <w:spacing w:before="120"/>
              <w:jc w:val="both"/>
              <w:rPr>
                <w:rFonts w:ascii="Arial" w:hAnsi="Arial" w:cs="Arial"/>
                <w:sz w:val="20"/>
                <w:lang w:val="en-GB"/>
              </w:rPr>
            </w:pPr>
            <w:r w:rsidRPr="006234E0">
              <w:rPr>
                <w:rFonts w:ascii="Arial" w:hAnsi="Arial" w:cs="Arial"/>
                <w:sz w:val="20"/>
                <w:lang w:val="en-GB"/>
              </w:rPr>
              <w:t xml:space="preserve">As the presumed offender must </w:t>
            </w:r>
            <w:r w:rsidR="000E388E">
              <w:rPr>
                <w:rFonts w:ascii="Arial" w:hAnsi="Arial" w:cs="Arial"/>
                <w:sz w:val="20"/>
                <w:lang w:val="en-GB"/>
              </w:rPr>
              <w:t>recognize the anticompetitive behaviour</w:t>
            </w:r>
            <w:r w:rsidRPr="006234E0">
              <w:rPr>
                <w:rFonts w:ascii="Arial" w:hAnsi="Arial" w:cs="Arial"/>
                <w:sz w:val="20"/>
                <w:lang w:val="en-GB"/>
              </w:rPr>
              <w:t xml:space="preserve">, this tool allows the Entity to use its resources in </w:t>
            </w:r>
            <w:r w:rsidR="004F39AF">
              <w:rPr>
                <w:rFonts w:ascii="Arial" w:hAnsi="Arial" w:cs="Arial"/>
                <w:sz w:val="20"/>
                <w:lang w:val="en-GB"/>
              </w:rPr>
              <w:t xml:space="preserve">an efficient way </w:t>
            </w:r>
            <w:r w:rsidR="005762D7">
              <w:rPr>
                <w:rFonts w:ascii="Arial" w:hAnsi="Arial" w:cs="Arial"/>
                <w:sz w:val="20"/>
                <w:lang w:val="en-GB"/>
              </w:rPr>
              <w:t xml:space="preserve">in order to </w:t>
            </w:r>
            <w:r w:rsidR="004F39AF">
              <w:rPr>
                <w:rFonts w:ascii="Arial" w:hAnsi="Arial" w:cs="Arial"/>
                <w:sz w:val="20"/>
                <w:lang w:val="en-GB"/>
              </w:rPr>
              <w:t>protect free economic competition</w:t>
            </w:r>
            <w:r w:rsidRPr="006234E0">
              <w:rPr>
                <w:rFonts w:ascii="Arial" w:hAnsi="Arial" w:cs="Arial"/>
                <w:sz w:val="20"/>
                <w:lang w:val="en-GB"/>
              </w:rPr>
              <w:t>.</w:t>
            </w:r>
          </w:p>
        </w:tc>
      </w:tr>
      <w:tr w:rsidR="00F06276" w:rsidRPr="00C3537E" w14:paraId="77359741" w14:textId="77777777" w:rsidTr="00973F76">
        <w:tblPrEx>
          <w:shd w:val="clear" w:color="auto" w:fill="auto"/>
        </w:tblPrEx>
        <w:tc>
          <w:tcPr>
            <w:tcW w:w="3436" w:type="dxa"/>
            <w:tcBorders>
              <w:left w:val="nil"/>
            </w:tcBorders>
            <w:shd w:val="clear" w:color="auto" w:fill="F3DFC3"/>
          </w:tcPr>
          <w:p w14:paraId="65E454D9" w14:textId="77777777" w:rsidR="00F06276" w:rsidRPr="00C3537E" w:rsidRDefault="00F06276" w:rsidP="00151284">
            <w:pPr>
              <w:numPr>
                <w:ilvl w:val="0"/>
                <w:numId w:val="14"/>
              </w:numPr>
              <w:spacing w:before="120" w:after="120"/>
              <w:rPr>
                <w:rFonts w:ascii="Arial" w:hAnsi="Arial" w:cs="Arial"/>
                <w:b/>
                <w:sz w:val="20"/>
                <w:lang w:val="en-GB"/>
              </w:rPr>
            </w:pPr>
            <w:r w:rsidRPr="00C3537E">
              <w:rPr>
                <w:rFonts w:ascii="Arial" w:hAnsi="Arial" w:cs="Arial"/>
                <w:b/>
                <w:sz w:val="20"/>
                <w:lang w:val="en-GB"/>
              </w:rPr>
              <w:t xml:space="preserve">Does a settlement </w:t>
            </w:r>
            <w:r w:rsidR="00151284" w:rsidRPr="00C3537E">
              <w:rPr>
                <w:rFonts w:ascii="Arial" w:hAnsi="Arial" w:cs="Arial"/>
                <w:b/>
                <w:sz w:val="20"/>
                <w:lang w:val="en-GB"/>
              </w:rPr>
              <w:t>necessitate</w:t>
            </w:r>
            <w:r w:rsidRPr="00C3537E">
              <w:rPr>
                <w:rFonts w:ascii="Arial" w:hAnsi="Arial" w:cs="Arial"/>
                <w:b/>
                <w:sz w:val="20"/>
                <w:lang w:val="en-GB"/>
              </w:rPr>
              <w:t xml:space="preserve"> that the parties acknowledge their liability for the violation?</w:t>
            </w:r>
          </w:p>
        </w:tc>
        <w:tc>
          <w:tcPr>
            <w:tcW w:w="5826" w:type="dxa"/>
            <w:tcBorders>
              <w:right w:val="nil"/>
            </w:tcBorders>
          </w:tcPr>
          <w:p w14:paraId="0397F243" w14:textId="77777777" w:rsidR="00F06276" w:rsidRPr="00C3537E" w:rsidRDefault="005762D7" w:rsidP="006234E0">
            <w:pPr>
              <w:spacing w:before="120"/>
              <w:jc w:val="both"/>
              <w:rPr>
                <w:rFonts w:ascii="Arial" w:hAnsi="Arial" w:cs="Arial"/>
                <w:sz w:val="20"/>
                <w:lang w:val="en-GB"/>
              </w:rPr>
            </w:pPr>
            <w:r>
              <w:rPr>
                <w:rFonts w:ascii="Arial" w:hAnsi="Arial" w:cs="Arial"/>
                <w:bCs/>
                <w:sz w:val="20"/>
                <w:szCs w:val="20"/>
                <w:lang w:val="en-GB"/>
              </w:rPr>
              <w:t>Yes, t</w:t>
            </w:r>
            <w:r w:rsidR="006234E0">
              <w:rPr>
                <w:rFonts w:ascii="Arial" w:hAnsi="Arial" w:cs="Arial"/>
                <w:bCs/>
                <w:sz w:val="20"/>
                <w:szCs w:val="20"/>
                <w:lang w:val="en-GB"/>
              </w:rPr>
              <w:t>he</w:t>
            </w:r>
            <w:r w:rsidR="006234E0" w:rsidRPr="00F72055">
              <w:rPr>
                <w:rFonts w:ascii="Arial" w:hAnsi="Arial" w:cs="Arial"/>
                <w:bCs/>
                <w:sz w:val="20"/>
                <w:szCs w:val="20"/>
                <w:lang w:val="en-GB"/>
              </w:rPr>
              <w:t xml:space="preserve"> settlement</w:t>
            </w:r>
            <w:r w:rsidR="006234E0" w:rsidRPr="00F72055">
              <w:rPr>
                <w:rFonts w:ascii="Arial" w:hAnsi="Arial" w:cs="Arial"/>
                <w:sz w:val="20"/>
                <w:szCs w:val="20"/>
              </w:rPr>
              <w:t xml:space="preserve"> imply a confession or an admition of the illegality of </w:t>
            </w:r>
            <w:r w:rsidR="006234E0">
              <w:rPr>
                <w:rFonts w:ascii="Arial" w:hAnsi="Arial" w:cs="Arial"/>
                <w:sz w:val="20"/>
                <w:szCs w:val="20"/>
              </w:rPr>
              <w:t>the conduct.</w:t>
            </w:r>
          </w:p>
        </w:tc>
      </w:tr>
      <w:tr w:rsidR="00F06276" w:rsidRPr="00C3537E" w14:paraId="59B96DBD" w14:textId="77777777" w:rsidTr="00973F76">
        <w:tblPrEx>
          <w:shd w:val="clear" w:color="auto" w:fill="auto"/>
        </w:tblPrEx>
        <w:tc>
          <w:tcPr>
            <w:tcW w:w="3436" w:type="dxa"/>
            <w:tcBorders>
              <w:left w:val="nil"/>
            </w:tcBorders>
            <w:shd w:val="clear" w:color="auto" w:fill="F3DFC3"/>
          </w:tcPr>
          <w:p w14:paraId="5DF88B2D" w14:textId="77777777" w:rsidR="00F06276" w:rsidRPr="00C3537E" w:rsidRDefault="00772CED" w:rsidP="00772CED">
            <w:pPr>
              <w:numPr>
                <w:ilvl w:val="0"/>
                <w:numId w:val="14"/>
              </w:numPr>
              <w:spacing w:before="120" w:after="120"/>
              <w:rPr>
                <w:rFonts w:ascii="Arial" w:hAnsi="Arial" w:cs="Arial"/>
                <w:b/>
                <w:sz w:val="20"/>
                <w:lang w:val="en-GB"/>
              </w:rPr>
            </w:pPr>
            <w:r w:rsidRPr="00C3537E">
              <w:rPr>
                <w:rFonts w:ascii="Arial" w:hAnsi="Arial" w:cs="Arial"/>
                <w:b/>
                <w:sz w:val="20"/>
                <w:lang w:val="en-GB"/>
              </w:rPr>
              <w:t>Is there a possibility for settled parties to appeal a settlement decision at court?</w:t>
            </w:r>
          </w:p>
        </w:tc>
        <w:tc>
          <w:tcPr>
            <w:tcW w:w="5826" w:type="dxa"/>
            <w:tcBorders>
              <w:right w:val="nil"/>
            </w:tcBorders>
          </w:tcPr>
          <w:p w14:paraId="23003336" w14:textId="77777777" w:rsidR="00F06276" w:rsidRPr="00C3537E" w:rsidRDefault="006234E0" w:rsidP="00DA295C">
            <w:pPr>
              <w:spacing w:before="120"/>
              <w:rPr>
                <w:rFonts w:ascii="Arial" w:hAnsi="Arial" w:cs="Arial"/>
                <w:sz w:val="20"/>
                <w:lang w:val="en-GB"/>
              </w:rPr>
            </w:pPr>
            <w:r w:rsidRPr="006B73AA">
              <w:rPr>
                <w:rFonts w:ascii="Arial" w:hAnsi="Arial" w:cs="Arial"/>
                <w:sz w:val="20"/>
                <w:szCs w:val="20"/>
                <w:lang w:val="en-GB"/>
              </w:rPr>
              <w:t xml:space="preserve">No, they cannot.  </w:t>
            </w:r>
          </w:p>
        </w:tc>
      </w:tr>
    </w:tbl>
    <w:p w14:paraId="39B3E4AC" w14:textId="77777777" w:rsidR="007B7C69" w:rsidRPr="00C3537E" w:rsidRDefault="007B7C69">
      <w:pPr>
        <w:pStyle w:val="Textoindependiente"/>
        <w:rPr>
          <w:rFonts w:ascii="Arial" w:hAnsi="Arial" w:cs="Arial"/>
          <w:lang w:val="en-GB"/>
        </w:rPr>
      </w:pPr>
    </w:p>
    <w:p w14:paraId="45585B5F" w14:textId="77777777" w:rsidR="00801BB1" w:rsidRPr="00C3537E" w:rsidRDefault="00801BB1">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2382"/>
        <w:gridCol w:w="6654"/>
      </w:tblGrid>
      <w:tr w:rsidR="009E5404" w:rsidRPr="00C3537E" w14:paraId="0D7E6B74" w14:textId="77777777" w:rsidTr="00E11B4E">
        <w:tc>
          <w:tcPr>
            <w:tcW w:w="9036" w:type="dxa"/>
            <w:gridSpan w:val="2"/>
            <w:shd w:val="clear" w:color="auto" w:fill="61243B"/>
          </w:tcPr>
          <w:p w14:paraId="69B630E3" w14:textId="77777777" w:rsidR="009E5404" w:rsidRPr="00C3537E" w:rsidRDefault="009E5404" w:rsidP="00DA295C">
            <w:pPr>
              <w:pStyle w:val="Ttulo1"/>
              <w:spacing w:before="240"/>
              <w:rPr>
                <w:rFonts w:ascii="Arial" w:hAnsi="Arial" w:cs="Arial"/>
                <w:color w:val="FFFFFF"/>
                <w:sz w:val="28"/>
                <w:lang w:val="en-GB"/>
              </w:rPr>
            </w:pPr>
            <w:r w:rsidRPr="00C3537E">
              <w:rPr>
                <w:rFonts w:ascii="Arial" w:hAnsi="Arial" w:cs="Arial"/>
                <w:color w:val="FFFFFF"/>
                <w:sz w:val="28"/>
                <w:lang w:val="en-GB"/>
              </w:rPr>
              <w:t>Commitment</w:t>
            </w:r>
          </w:p>
        </w:tc>
      </w:tr>
      <w:tr w:rsidR="009E5404" w:rsidRPr="00C3537E" w14:paraId="2CD302E9" w14:textId="77777777" w:rsidTr="00E11B4E">
        <w:tblPrEx>
          <w:shd w:val="clear" w:color="auto" w:fill="auto"/>
        </w:tblPrEx>
        <w:tc>
          <w:tcPr>
            <w:tcW w:w="2382" w:type="dxa"/>
            <w:tcBorders>
              <w:left w:val="nil"/>
            </w:tcBorders>
            <w:shd w:val="clear" w:color="auto" w:fill="F3DFC3"/>
          </w:tcPr>
          <w:p w14:paraId="45ED05B3" w14:textId="77777777" w:rsidR="009E5404" w:rsidRPr="00C3537E" w:rsidRDefault="009E5404" w:rsidP="009E5404">
            <w:pPr>
              <w:numPr>
                <w:ilvl w:val="0"/>
                <w:numId w:val="26"/>
              </w:numPr>
              <w:spacing w:before="120" w:after="120"/>
              <w:rPr>
                <w:rFonts w:ascii="Arial" w:hAnsi="Arial" w:cs="Arial"/>
                <w:b/>
                <w:bCs/>
                <w:sz w:val="20"/>
                <w:lang w:val="en-GB"/>
              </w:rPr>
            </w:pPr>
            <w:r w:rsidRPr="00C3537E">
              <w:rPr>
                <w:rFonts w:ascii="Arial" w:hAnsi="Arial" w:cs="Arial"/>
                <w:b/>
                <w:bCs/>
                <w:sz w:val="20"/>
                <w:lang w:val="en-GB"/>
              </w:rPr>
              <w:t xml:space="preserve">Does your competition regime allow the </w:t>
            </w:r>
            <w:r w:rsidRPr="00C3537E">
              <w:rPr>
                <w:rFonts w:ascii="Arial" w:hAnsi="Arial" w:cs="Arial"/>
                <w:b/>
                <w:bCs/>
                <w:sz w:val="20"/>
                <w:lang w:val="en-GB"/>
              </w:rPr>
              <w:lastRenderedPageBreak/>
              <w:t>possibility of commitment?</w:t>
            </w:r>
          </w:p>
          <w:p w14:paraId="31008596" w14:textId="77777777" w:rsidR="009E5404" w:rsidRPr="00C3537E" w:rsidRDefault="009E5404" w:rsidP="00DA295C">
            <w:pPr>
              <w:spacing w:before="120" w:after="120"/>
              <w:ind w:left="360"/>
              <w:rPr>
                <w:rFonts w:ascii="Arial" w:hAnsi="Arial" w:cs="Arial"/>
                <w:b/>
                <w:bCs/>
                <w:sz w:val="20"/>
                <w:lang w:val="en-GB"/>
              </w:rPr>
            </w:pPr>
            <w:r w:rsidRPr="00C3537E">
              <w:rPr>
                <w:rFonts w:ascii="Arial" w:hAnsi="Arial" w:cs="Arial"/>
                <w:b/>
                <w:bCs/>
                <w:sz w:val="20"/>
                <w:lang w:val="en-GB"/>
              </w:rPr>
              <w:t xml:space="preserve">If yes, please indicate its public availability </w:t>
            </w:r>
            <w:r w:rsidR="00F57C62" w:rsidRPr="00C3537E">
              <w:rPr>
                <w:rFonts w:ascii="Arial" w:hAnsi="Arial" w:cs="Arial"/>
                <w:b/>
                <w:bCs/>
                <w:sz w:val="20"/>
                <w:lang w:val="en-GB"/>
              </w:rPr>
              <w:t>[</w:t>
            </w:r>
            <w:r w:rsidRPr="00C3537E">
              <w:rPr>
                <w:rFonts w:ascii="Arial" w:hAnsi="Arial" w:cs="Arial"/>
                <w:b/>
                <w:bCs/>
                <w:sz w:val="20"/>
                <w:lang w:val="en-GB"/>
              </w:rPr>
              <w:t>link to the relevant rules, guidelines, etc.].</w:t>
            </w:r>
          </w:p>
        </w:tc>
        <w:tc>
          <w:tcPr>
            <w:tcW w:w="6654" w:type="dxa"/>
            <w:tcBorders>
              <w:right w:val="nil"/>
            </w:tcBorders>
          </w:tcPr>
          <w:p w14:paraId="7C1191FF" w14:textId="77777777" w:rsidR="00E11B4E" w:rsidRPr="00DF08A6" w:rsidRDefault="00E11B4E" w:rsidP="00E11B4E">
            <w:pPr>
              <w:pStyle w:val="HTMLconformatoprevio"/>
              <w:shd w:val="clear" w:color="auto" w:fill="FFFFFF"/>
              <w:jc w:val="both"/>
              <w:rPr>
                <w:rFonts w:ascii="Arial" w:hAnsi="Arial" w:cs="Arial"/>
                <w:lang w:val="en-GB"/>
              </w:rPr>
            </w:pPr>
            <w:r w:rsidRPr="0024326D">
              <w:rPr>
                <w:rFonts w:ascii="Arial" w:hAnsi="Arial" w:cs="Arial"/>
                <w:lang w:val="en-GB"/>
              </w:rPr>
              <w:lastRenderedPageBreak/>
              <w:t xml:space="preserve">Yes. </w:t>
            </w:r>
            <w:r>
              <w:rPr>
                <w:rFonts w:ascii="Arial" w:hAnsi="Arial" w:cs="Arial"/>
                <w:lang w:val="en-GB"/>
              </w:rPr>
              <w:t xml:space="preserve">Paragraph 1 of Article 52 of Decree 2153 of 1992, which was amended by </w:t>
            </w:r>
            <w:r w:rsidRPr="0024326D">
              <w:rPr>
                <w:rFonts w:ascii="Arial" w:hAnsi="Arial" w:cs="Arial"/>
                <w:lang w:val="en-GB"/>
              </w:rPr>
              <w:t>Article 16 of Law 1340 of 2009</w:t>
            </w:r>
            <w:r>
              <w:rPr>
                <w:rFonts w:ascii="Arial" w:hAnsi="Arial" w:cs="Arial"/>
                <w:lang w:val="en-GB"/>
              </w:rPr>
              <w:t>,</w:t>
            </w:r>
            <w:r w:rsidRPr="0024326D">
              <w:rPr>
                <w:rFonts w:ascii="Arial" w:hAnsi="Arial" w:cs="Arial"/>
                <w:lang w:val="en-GB"/>
              </w:rPr>
              <w:t xml:space="preserve"> establish</w:t>
            </w:r>
            <w:r>
              <w:rPr>
                <w:rFonts w:ascii="Arial" w:hAnsi="Arial" w:cs="Arial"/>
                <w:lang w:val="en-GB"/>
              </w:rPr>
              <w:t>es</w:t>
            </w:r>
            <w:r w:rsidR="00132253">
              <w:rPr>
                <w:rFonts w:ascii="Arial" w:hAnsi="Arial" w:cs="Arial"/>
                <w:lang w:val="en-GB"/>
              </w:rPr>
              <w:t xml:space="preserve"> </w:t>
            </w:r>
            <w:r>
              <w:rPr>
                <w:rFonts w:ascii="Arial" w:hAnsi="Arial" w:cs="Arial"/>
                <w:lang w:val="en-GB"/>
              </w:rPr>
              <w:t xml:space="preserve">that </w:t>
            </w:r>
            <w:r w:rsidRPr="00DF08A6">
              <w:rPr>
                <w:rFonts w:ascii="Arial" w:hAnsi="Arial" w:cs="Arial"/>
                <w:lang w:val="en-GB"/>
              </w:rPr>
              <w:t xml:space="preserve">a party may </w:t>
            </w:r>
            <w:r>
              <w:rPr>
                <w:rFonts w:ascii="Arial" w:hAnsi="Arial" w:cs="Arial"/>
                <w:lang w:val="en-GB"/>
              </w:rPr>
              <w:t>resolve</w:t>
            </w:r>
            <w:r w:rsidRPr="00DF08A6">
              <w:rPr>
                <w:rFonts w:ascii="Arial" w:hAnsi="Arial" w:cs="Arial"/>
                <w:lang w:val="en-GB"/>
              </w:rPr>
              <w:t xml:space="preserve"> a case by offering to the SIC satisfactory “guarantees.” If the guarantees are accepted, they become binding commitments, and a </w:t>
            </w:r>
            <w:r w:rsidRPr="00DF08A6">
              <w:rPr>
                <w:rFonts w:ascii="Arial" w:hAnsi="Arial" w:cs="Arial"/>
                <w:lang w:val="en-GB"/>
              </w:rPr>
              <w:lastRenderedPageBreak/>
              <w:t>failure to comply with them can be sanctioned as if</w:t>
            </w:r>
            <w:r>
              <w:rPr>
                <w:rFonts w:ascii="Arial" w:hAnsi="Arial" w:cs="Arial"/>
                <w:lang w:val="en-GB"/>
              </w:rPr>
              <w:t xml:space="preserve"> a SIC order has been violated</w:t>
            </w:r>
            <w:r w:rsidRPr="00943190">
              <w:rPr>
                <w:rFonts w:ascii="Arial" w:hAnsi="Arial" w:cs="Arial"/>
                <w:lang w:val="en-US"/>
              </w:rPr>
              <w:t xml:space="preserve">.  </w:t>
            </w:r>
          </w:p>
          <w:p w14:paraId="491AE0EB" w14:textId="77777777" w:rsidR="00E11B4E" w:rsidRDefault="00E11B4E" w:rsidP="00E11B4E">
            <w:pPr>
              <w:spacing w:before="120"/>
              <w:jc w:val="both"/>
              <w:rPr>
                <w:rFonts w:ascii="Arial" w:hAnsi="Arial" w:cs="Arial"/>
                <w:sz w:val="20"/>
                <w:szCs w:val="20"/>
                <w:lang w:val="en-US"/>
              </w:rPr>
            </w:pPr>
            <w:r>
              <w:rPr>
                <w:rFonts w:ascii="Arial" w:hAnsi="Arial" w:cs="Arial"/>
                <w:sz w:val="20"/>
                <w:szCs w:val="20"/>
                <w:lang w:val="en-US"/>
              </w:rPr>
              <w:t xml:space="preserve">Decree 2153 of 1992: </w:t>
            </w:r>
          </w:p>
          <w:p w14:paraId="273365D3" w14:textId="77777777" w:rsidR="00E11B4E" w:rsidRPr="006B73AA" w:rsidRDefault="00122579" w:rsidP="00E11B4E">
            <w:pPr>
              <w:jc w:val="both"/>
              <w:rPr>
                <w:rFonts w:ascii="Arial" w:hAnsi="Arial" w:cs="Arial"/>
                <w:sz w:val="20"/>
                <w:szCs w:val="20"/>
                <w:lang w:val="en-GB"/>
              </w:rPr>
            </w:pPr>
            <w:hyperlink r:id="rId40" w:history="1">
              <w:r w:rsidR="00E11B4E" w:rsidRPr="0064586C">
                <w:rPr>
                  <w:rStyle w:val="Hipervnculo"/>
                  <w:rFonts w:ascii="Arial" w:hAnsi="Arial" w:cs="Arial"/>
                  <w:sz w:val="20"/>
                  <w:szCs w:val="20"/>
                  <w:lang w:val="en-GB"/>
                </w:rPr>
                <w:t>http://www.alcaldiabogota.gov.co/sisjur/normas/Norma1.jsp?i=38168</w:t>
              </w:r>
            </w:hyperlink>
            <w:r w:rsidR="00E11B4E">
              <w:rPr>
                <w:rFonts w:ascii="Arial" w:hAnsi="Arial" w:cs="Arial"/>
                <w:sz w:val="20"/>
                <w:szCs w:val="20"/>
                <w:lang w:val="en-GB"/>
              </w:rPr>
              <w:t xml:space="preserve"> (Spanish)</w:t>
            </w:r>
            <w:r w:rsidR="00E11B4E" w:rsidRPr="006B73AA">
              <w:rPr>
                <w:rFonts w:ascii="Arial" w:hAnsi="Arial" w:cs="Arial"/>
                <w:sz w:val="20"/>
                <w:szCs w:val="20"/>
                <w:lang w:val="en-GB"/>
              </w:rPr>
              <w:t xml:space="preserve">. </w:t>
            </w:r>
          </w:p>
          <w:p w14:paraId="79D609F1" w14:textId="77777777" w:rsidR="00E11B4E" w:rsidRDefault="00E11B4E" w:rsidP="00132253">
            <w:pPr>
              <w:spacing w:before="120"/>
              <w:rPr>
                <w:rFonts w:ascii="Arial" w:hAnsi="Arial" w:cs="Arial"/>
                <w:sz w:val="20"/>
                <w:szCs w:val="20"/>
                <w:lang w:val="en-GB"/>
              </w:rPr>
            </w:pPr>
            <w:r>
              <w:rPr>
                <w:rFonts w:ascii="Arial" w:hAnsi="Arial" w:cs="Arial"/>
                <w:sz w:val="20"/>
                <w:szCs w:val="20"/>
                <w:lang w:val="en-US"/>
              </w:rPr>
              <w:t xml:space="preserve">Law 1340 of 2009: </w:t>
            </w:r>
            <w:hyperlink r:id="rId41" w:history="1">
              <w:r w:rsidRPr="00662DAF">
                <w:rPr>
                  <w:rStyle w:val="Hipervnculo"/>
                  <w:rFonts w:ascii="Arial" w:hAnsi="Arial" w:cs="Arial"/>
                  <w:sz w:val="20"/>
                  <w:szCs w:val="20"/>
                  <w:lang w:val="en-US"/>
                </w:rPr>
                <w:t>http://www.sic.gov.co/sites/default/files/normatividad/Ley_1340_2009.pdf</w:t>
              </w:r>
            </w:hyperlink>
            <w:r>
              <w:rPr>
                <w:rFonts w:ascii="Arial" w:hAnsi="Arial" w:cs="Arial"/>
                <w:sz w:val="20"/>
                <w:szCs w:val="20"/>
                <w:lang w:val="en-US"/>
              </w:rPr>
              <w:t xml:space="preserve"> (Spanish)</w:t>
            </w:r>
          </w:p>
          <w:p w14:paraId="23486EE5" w14:textId="77777777" w:rsidR="009E5404" w:rsidRPr="00C3537E" w:rsidRDefault="009E5404" w:rsidP="00B536C7">
            <w:pPr>
              <w:spacing w:before="120"/>
              <w:jc w:val="both"/>
              <w:rPr>
                <w:rFonts w:ascii="Arial" w:hAnsi="Arial" w:cs="Arial"/>
                <w:lang w:val="en-GB"/>
              </w:rPr>
            </w:pPr>
          </w:p>
        </w:tc>
      </w:tr>
      <w:tr w:rsidR="009E5404" w:rsidRPr="00C3537E" w14:paraId="276A4BE5" w14:textId="77777777" w:rsidTr="00E11B4E">
        <w:tblPrEx>
          <w:shd w:val="clear" w:color="auto" w:fill="auto"/>
        </w:tblPrEx>
        <w:tc>
          <w:tcPr>
            <w:tcW w:w="2382" w:type="dxa"/>
            <w:tcBorders>
              <w:left w:val="nil"/>
            </w:tcBorders>
            <w:shd w:val="clear" w:color="auto" w:fill="F3DFC3"/>
          </w:tcPr>
          <w:p w14:paraId="36237591" w14:textId="77777777" w:rsidR="009E5404" w:rsidRPr="00C3537E" w:rsidRDefault="009E5404" w:rsidP="009E5404">
            <w:pPr>
              <w:numPr>
                <w:ilvl w:val="0"/>
                <w:numId w:val="27"/>
              </w:numPr>
              <w:spacing w:before="120" w:after="120"/>
              <w:rPr>
                <w:rFonts w:ascii="Arial" w:hAnsi="Arial" w:cs="Arial"/>
                <w:b/>
                <w:bCs/>
                <w:sz w:val="20"/>
                <w:lang w:val="en-GB"/>
              </w:rPr>
            </w:pPr>
            <w:r w:rsidRPr="00C3537E">
              <w:rPr>
                <w:rFonts w:ascii="Arial" w:hAnsi="Arial" w:cs="Arial"/>
                <w:b/>
                <w:sz w:val="20"/>
                <w:lang w:val="en-GB"/>
              </w:rPr>
              <w:lastRenderedPageBreak/>
              <w:t>Which types of restrictive agreements are eligible for commitment [e.g. hardcore cartels, other types of cartels, vertical agreements only …]?</w:t>
            </w:r>
          </w:p>
          <w:p w14:paraId="09621C1D" w14:textId="77777777" w:rsidR="00FB51FB" w:rsidRPr="00C3537E" w:rsidRDefault="00FB51FB" w:rsidP="00D96D82">
            <w:pPr>
              <w:spacing w:before="120" w:after="120"/>
              <w:ind w:left="360"/>
              <w:rPr>
                <w:rFonts w:ascii="Arial" w:hAnsi="Arial" w:cs="Arial"/>
                <w:b/>
                <w:bCs/>
                <w:sz w:val="20"/>
                <w:lang w:val="en-GB"/>
              </w:rPr>
            </w:pPr>
            <w:r w:rsidRPr="004908E2">
              <w:rPr>
                <w:rFonts w:ascii="Arial" w:hAnsi="Arial" w:cs="Arial"/>
                <w:b/>
                <w:sz w:val="20"/>
                <w:lang w:val="en-GB"/>
              </w:rPr>
              <w:t xml:space="preserve">Are there </w:t>
            </w:r>
            <w:r w:rsidR="00D96D82" w:rsidRPr="004908E2">
              <w:rPr>
                <w:rFonts w:ascii="Arial" w:hAnsi="Arial" w:cs="Arial"/>
                <w:b/>
                <w:sz w:val="20"/>
                <w:lang w:val="en-GB"/>
              </w:rPr>
              <w:t>violations</w:t>
            </w:r>
            <w:r w:rsidRPr="004908E2">
              <w:rPr>
                <w:rFonts w:ascii="Arial" w:hAnsi="Arial" w:cs="Arial"/>
                <w:b/>
                <w:sz w:val="20"/>
                <w:lang w:val="en-GB"/>
              </w:rPr>
              <w:t xml:space="preserve"> which are excluded from the commitment possibility?</w:t>
            </w:r>
          </w:p>
        </w:tc>
        <w:tc>
          <w:tcPr>
            <w:tcW w:w="6654" w:type="dxa"/>
            <w:tcBorders>
              <w:right w:val="nil"/>
            </w:tcBorders>
          </w:tcPr>
          <w:p w14:paraId="13DD2F3F" w14:textId="159756A6" w:rsidR="009E5404" w:rsidRPr="00C3537E" w:rsidRDefault="00E11B4E" w:rsidP="00B536C7">
            <w:pPr>
              <w:spacing w:before="120"/>
              <w:jc w:val="both"/>
              <w:rPr>
                <w:rFonts w:ascii="Arial" w:hAnsi="Arial" w:cs="Arial"/>
                <w:sz w:val="20"/>
                <w:lang w:val="en-GB"/>
              </w:rPr>
            </w:pPr>
            <w:r w:rsidRPr="00EC0EE9">
              <w:rPr>
                <w:rFonts w:ascii="Arial" w:hAnsi="Arial" w:cs="Arial"/>
                <w:sz w:val="20"/>
                <w:szCs w:val="20"/>
                <w:lang w:val="en-GB"/>
              </w:rPr>
              <w:t>All the restrictive</w:t>
            </w:r>
            <w:r>
              <w:rPr>
                <w:rFonts w:ascii="Arial" w:hAnsi="Arial" w:cs="Arial"/>
                <w:sz w:val="20"/>
                <w:szCs w:val="20"/>
                <w:lang w:val="en-GB"/>
              </w:rPr>
              <w:t xml:space="preserve"> practices</w:t>
            </w:r>
            <w:r w:rsidRPr="00EC0EE9">
              <w:rPr>
                <w:rFonts w:ascii="Arial" w:hAnsi="Arial" w:cs="Arial"/>
                <w:sz w:val="20"/>
                <w:szCs w:val="20"/>
                <w:lang w:val="en-GB"/>
              </w:rPr>
              <w:t xml:space="preserve"> contained in Article 47</w:t>
            </w:r>
            <w:r>
              <w:rPr>
                <w:rFonts w:ascii="Arial" w:hAnsi="Arial" w:cs="Arial"/>
                <w:sz w:val="20"/>
                <w:szCs w:val="20"/>
                <w:lang w:val="en-GB"/>
              </w:rPr>
              <w:t>, 48 and 50</w:t>
            </w:r>
            <w:r w:rsidRPr="00EC0EE9">
              <w:rPr>
                <w:rFonts w:ascii="Arial" w:hAnsi="Arial" w:cs="Arial"/>
                <w:sz w:val="20"/>
                <w:szCs w:val="20"/>
                <w:lang w:val="en-GB"/>
              </w:rPr>
              <w:t xml:space="preserve"> of Decree 2153</w:t>
            </w:r>
            <w:r>
              <w:rPr>
                <w:rFonts w:ascii="Arial" w:hAnsi="Arial" w:cs="Arial"/>
                <w:sz w:val="20"/>
                <w:szCs w:val="20"/>
                <w:lang w:val="en-GB"/>
              </w:rPr>
              <w:t xml:space="preserve"> and in the Article 1 of Law 155 of 1959</w:t>
            </w:r>
            <w:r w:rsidRPr="00EC0EE9">
              <w:rPr>
                <w:rFonts w:ascii="Arial" w:hAnsi="Arial" w:cs="Arial"/>
                <w:sz w:val="20"/>
                <w:szCs w:val="20"/>
                <w:lang w:val="en-GB"/>
              </w:rPr>
              <w:t xml:space="preserve"> are subject to a </w:t>
            </w:r>
            <w:r w:rsidR="00D77384">
              <w:rPr>
                <w:rFonts w:ascii="Arial" w:hAnsi="Arial" w:cs="Arial"/>
                <w:sz w:val="20"/>
                <w:szCs w:val="20"/>
                <w:lang w:val="en-GB"/>
              </w:rPr>
              <w:t>commitment</w:t>
            </w:r>
            <w:r w:rsidRPr="00EC0EE9">
              <w:rPr>
                <w:rFonts w:ascii="Arial" w:hAnsi="Arial" w:cs="Arial"/>
                <w:sz w:val="20"/>
                <w:szCs w:val="20"/>
                <w:lang w:val="en-GB"/>
              </w:rPr>
              <w:t>. Actually, the provision applies to “violations of commercial restrictive practices”.</w:t>
            </w:r>
          </w:p>
        </w:tc>
      </w:tr>
      <w:tr w:rsidR="009E5404" w:rsidRPr="00C3537E" w14:paraId="1BD5CFFA" w14:textId="77777777" w:rsidTr="00E11B4E">
        <w:tblPrEx>
          <w:shd w:val="clear" w:color="auto" w:fill="auto"/>
        </w:tblPrEx>
        <w:tc>
          <w:tcPr>
            <w:tcW w:w="2382" w:type="dxa"/>
            <w:tcBorders>
              <w:left w:val="nil"/>
            </w:tcBorders>
            <w:shd w:val="clear" w:color="auto" w:fill="F3DFC3"/>
          </w:tcPr>
          <w:p w14:paraId="33EE5906" w14:textId="77777777" w:rsidR="009E5404" w:rsidRPr="00C3537E" w:rsidRDefault="009E5404" w:rsidP="009E5404">
            <w:pPr>
              <w:numPr>
                <w:ilvl w:val="0"/>
                <w:numId w:val="27"/>
              </w:numPr>
              <w:spacing w:before="120" w:after="120"/>
              <w:rPr>
                <w:rFonts w:ascii="Arial" w:hAnsi="Arial" w:cs="Arial"/>
                <w:b/>
                <w:bCs/>
                <w:sz w:val="20"/>
                <w:lang w:val="en-GB"/>
              </w:rPr>
            </w:pPr>
            <w:r w:rsidRPr="00C3537E">
              <w:rPr>
                <w:rFonts w:ascii="Arial" w:hAnsi="Arial" w:cs="Arial"/>
                <w:b/>
                <w:sz w:val="20"/>
                <w:lang w:val="en-GB"/>
              </w:rPr>
              <w:t xml:space="preserve">List the criteria (if there </w:t>
            </w:r>
            <w:r w:rsidR="00370BB0" w:rsidRPr="00C3537E">
              <w:rPr>
                <w:rFonts w:ascii="Arial" w:hAnsi="Arial" w:cs="Arial"/>
                <w:b/>
                <w:sz w:val="20"/>
                <w:lang w:val="en-GB"/>
              </w:rPr>
              <w:t>are</w:t>
            </w:r>
            <w:r w:rsidRPr="00C3537E">
              <w:rPr>
                <w:rFonts w:ascii="Arial" w:hAnsi="Arial" w:cs="Arial"/>
                <w:b/>
                <w:sz w:val="20"/>
                <w:lang w:val="en-GB"/>
              </w:rPr>
              <w:t xml:space="preserve"> any) determining the cases which are suitable for commitment.</w:t>
            </w:r>
          </w:p>
        </w:tc>
        <w:tc>
          <w:tcPr>
            <w:tcW w:w="6654" w:type="dxa"/>
            <w:tcBorders>
              <w:right w:val="nil"/>
            </w:tcBorders>
          </w:tcPr>
          <w:p w14:paraId="59DA03EF" w14:textId="77777777" w:rsidR="009E5404" w:rsidRPr="00C3537E" w:rsidRDefault="00E11B4E" w:rsidP="00E11B4E">
            <w:pPr>
              <w:spacing w:before="120"/>
              <w:jc w:val="both"/>
              <w:rPr>
                <w:rFonts w:ascii="Arial" w:hAnsi="Arial" w:cs="Arial"/>
                <w:sz w:val="20"/>
                <w:lang w:val="en-GB"/>
              </w:rPr>
            </w:pPr>
            <w:r>
              <w:rPr>
                <w:rFonts w:ascii="Arial" w:hAnsi="Arial" w:cs="Arial"/>
                <w:sz w:val="20"/>
                <w:szCs w:val="20"/>
                <w:lang w:val="en-GB"/>
              </w:rPr>
              <w:t xml:space="preserve">There is not a formal criteria to determine the cases which are suitable for commitments. Nevertheless, in a case by case analysis the Competition Authority identify a structural solution that can remove the anticompetitive effects in the markets. </w:t>
            </w:r>
          </w:p>
        </w:tc>
      </w:tr>
      <w:tr w:rsidR="00DF29BC" w:rsidRPr="00C3537E" w14:paraId="6DB4AAA5" w14:textId="77777777" w:rsidTr="00E11B4E">
        <w:tblPrEx>
          <w:shd w:val="clear" w:color="auto" w:fill="auto"/>
        </w:tblPrEx>
        <w:tc>
          <w:tcPr>
            <w:tcW w:w="2382" w:type="dxa"/>
            <w:tcBorders>
              <w:left w:val="nil"/>
            </w:tcBorders>
            <w:shd w:val="clear" w:color="auto" w:fill="F3DFC3"/>
          </w:tcPr>
          <w:p w14:paraId="74986FBA" w14:textId="77777777" w:rsidR="00DF29BC" w:rsidRPr="00C3537E" w:rsidRDefault="00DF29BC" w:rsidP="009E5404">
            <w:pPr>
              <w:numPr>
                <w:ilvl w:val="0"/>
                <w:numId w:val="27"/>
              </w:numPr>
              <w:spacing w:before="120" w:after="120"/>
              <w:rPr>
                <w:rFonts w:ascii="Arial" w:hAnsi="Arial" w:cs="Arial"/>
                <w:b/>
                <w:sz w:val="20"/>
                <w:lang w:val="en-GB"/>
              </w:rPr>
            </w:pPr>
            <w:r w:rsidRPr="00C3537E">
              <w:rPr>
                <w:rFonts w:ascii="Arial" w:hAnsi="Arial" w:cs="Arial"/>
                <w:b/>
                <w:sz w:val="20"/>
                <w:lang w:val="en-GB"/>
              </w:rPr>
              <w:t>Describe, which types of commitments are available under your competition law</w:t>
            </w:r>
            <w:r w:rsidR="00F57C62" w:rsidRPr="00C3537E">
              <w:rPr>
                <w:rFonts w:ascii="Arial" w:hAnsi="Arial" w:cs="Arial"/>
                <w:b/>
                <w:sz w:val="20"/>
                <w:lang w:val="en-GB"/>
              </w:rPr>
              <w:t>.</w:t>
            </w:r>
            <w:r w:rsidRPr="00C3537E">
              <w:rPr>
                <w:rFonts w:ascii="Arial" w:hAnsi="Arial" w:cs="Arial"/>
                <w:b/>
                <w:sz w:val="20"/>
                <w:lang w:val="en-GB"/>
              </w:rPr>
              <w:t>[e.g.: behavioural / structural]</w:t>
            </w:r>
          </w:p>
        </w:tc>
        <w:tc>
          <w:tcPr>
            <w:tcW w:w="6654" w:type="dxa"/>
            <w:tcBorders>
              <w:right w:val="nil"/>
            </w:tcBorders>
          </w:tcPr>
          <w:p w14:paraId="17031E78" w14:textId="77777777" w:rsidR="00DF29BC" w:rsidRPr="00C3537E" w:rsidRDefault="00E11B4E" w:rsidP="004C1048">
            <w:pPr>
              <w:spacing w:before="120"/>
              <w:jc w:val="both"/>
              <w:rPr>
                <w:rFonts w:ascii="Arial" w:hAnsi="Arial" w:cs="Arial"/>
                <w:sz w:val="20"/>
                <w:lang w:val="en-GB"/>
              </w:rPr>
            </w:pPr>
            <w:r>
              <w:rPr>
                <w:rFonts w:ascii="Arial" w:hAnsi="Arial" w:cs="Arial"/>
                <w:sz w:val="20"/>
                <w:lang w:val="en-GB"/>
              </w:rPr>
              <w:t xml:space="preserve">Structural commitments </w:t>
            </w:r>
            <w:r w:rsidR="00B34D04">
              <w:rPr>
                <w:rFonts w:ascii="Arial" w:hAnsi="Arial" w:cs="Arial"/>
                <w:sz w:val="20"/>
                <w:lang w:val="en-GB"/>
              </w:rPr>
              <w:t>are the possible ones that are subject to be consider</w:t>
            </w:r>
            <w:r w:rsidR="00A867D3">
              <w:rPr>
                <w:rFonts w:ascii="Arial" w:hAnsi="Arial" w:cs="Arial"/>
                <w:sz w:val="20"/>
                <w:lang w:val="en-GB"/>
              </w:rPr>
              <w:t>ed</w:t>
            </w:r>
            <w:r w:rsidR="00B34D04">
              <w:rPr>
                <w:rFonts w:ascii="Arial" w:hAnsi="Arial" w:cs="Arial"/>
                <w:sz w:val="20"/>
                <w:lang w:val="en-GB"/>
              </w:rPr>
              <w:t xml:space="preserve"> by the Colombian Competition Authority. In fact, the Agency do</w:t>
            </w:r>
            <w:r w:rsidR="00A867D3">
              <w:rPr>
                <w:rFonts w:ascii="Arial" w:hAnsi="Arial" w:cs="Arial"/>
                <w:sz w:val="20"/>
                <w:lang w:val="en-GB"/>
              </w:rPr>
              <w:t>es</w:t>
            </w:r>
            <w:r w:rsidR="00B34D04">
              <w:rPr>
                <w:rFonts w:ascii="Arial" w:hAnsi="Arial" w:cs="Arial"/>
                <w:sz w:val="20"/>
                <w:lang w:val="en-GB"/>
              </w:rPr>
              <w:t xml:space="preserve"> not consider that behavioural commitments could be admitted as a substitute of a formal antitrust investigation. </w:t>
            </w:r>
          </w:p>
        </w:tc>
      </w:tr>
      <w:tr w:rsidR="00E11B4E" w:rsidRPr="00C3537E" w14:paraId="68E8D3F1" w14:textId="77777777" w:rsidTr="00E11B4E">
        <w:tblPrEx>
          <w:shd w:val="clear" w:color="auto" w:fill="auto"/>
        </w:tblPrEx>
        <w:tc>
          <w:tcPr>
            <w:tcW w:w="2382" w:type="dxa"/>
            <w:tcBorders>
              <w:left w:val="nil"/>
            </w:tcBorders>
            <w:shd w:val="clear" w:color="auto" w:fill="F3DFC3"/>
          </w:tcPr>
          <w:p w14:paraId="47037FF7" w14:textId="77777777" w:rsidR="00E11B4E" w:rsidRPr="00C3537E" w:rsidRDefault="00E11B4E" w:rsidP="00E11B4E">
            <w:pPr>
              <w:numPr>
                <w:ilvl w:val="0"/>
                <w:numId w:val="27"/>
              </w:numPr>
              <w:spacing w:before="120" w:after="120"/>
              <w:rPr>
                <w:rFonts w:ascii="Arial" w:hAnsi="Arial" w:cs="Arial"/>
                <w:b/>
                <w:bCs/>
                <w:sz w:val="20"/>
                <w:lang w:val="en-GB"/>
              </w:rPr>
            </w:pPr>
            <w:r w:rsidRPr="00C3537E">
              <w:rPr>
                <w:rFonts w:ascii="Arial" w:hAnsi="Arial" w:cs="Arial"/>
                <w:b/>
                <w:bCs/>
                <w:sz w:val="20"/>
                <w:lang w:val="en-GB"/>
              </w:rPr>
              <w:t>Describe briefly the system [who can initiate commitment – your authority or the parties, in which stage of the investigation commitment may be initiated, etc.]</w:t>
            </w:r>
          </w:p>
        </w:tc>
        <w:tc>
          <w:tcPr>
            <w:tcW w:w="6654" w:type="dxa"/>
            <w:tcBorders>
              <w:right w:val="nil"/>
            </w:tcBorders>
          </w:tcPr>
          <w:p w14:paraId="6C5102AA" w14:textId="77777777" w:rsidR="00E11B4E" w:rsidRDefault="00E11B4E" w:rsidP="00E11B4E">
            <w:pPr>
              <w:spacing w:before="120"/>
              <w:jc w:val="both"/>
              <w:rPr>
                <w:rFonts w:ascii="Arial" w:hAnsi="Arial" w:cs="Arial"/>
                <w:sz w:val="20"/>
                <w:lang w:val="en-GB"/>
              </w:rPr>
            </w:pPr>
            <w:r w:rsidRPr="006234E0">
              <w:rPr>
                <w:rFonts w:ascii="Arial" w:hAnsi="Arial" w:cs="Arial"/>
                <w:sz w:val="20"/>
                <w:lang w:val="en-GB"/>
              </w:rPr>
              <w:t>Paragraph 1 of Article 52 of Decree 2153 of 1992 and Article 16 of Law 1340 of 2009 establish that the investigated party must offer to the Authority a settlement in order to close an investigation in advance. The Superintendent of Industry and Commerce will analyse if the alleged offender offers sufficient guarantees that s/he will suspend or modify the conduct for which s/he is being investigated. The presumed offender can present this offer before the term granted by the Superintendence of Industry and Commerce expires to provide evidence.</w:t>
            </w:r>
          </w:p>
          <w:p w14:paraId="7AE02F16" w14:textId="77777777" w:rsidR="00E11B4E" w:rsidRDefault="00E11B4E" w:rsidP="00E11B4E">
            <w:pPr>
              <w:spacing w:before="120"/>
              <w:jc w:val="both"/>
              <w:rPr>
                <w:rFonts w:ascii="Arial" w:hAnsi="Arial" w:cs="Arial"/>
                <w:sz w:val="20"/>
                <w:lang w:val="en-GB"/>
              </w:rPr>
            </w:pPr>
          </w:p>
          <w:p w14:paraId="057B5E99" w14:textId="77777777" w:rsidR="00E11B4E" w:rsidRPr="00C3537E" w:rsidRDefault="00E11B4E" w:rsidP="00E11B4E">
            <w:pPr>
              <w:spacing w:before="120"/>
              <w:rPr>
                <w:rFonts w:ascii="Arial" w:hAnsi="Arial" w:cs="Arial"/>
                <w:sz w:val="20"/>
                <w:lang w:val="en-GB"/>
              </w:rPr>
            </w:pPr>
            <w:r>
              <w:rPr>
                <w:rFonts w:ascii="Arial" w:hAnsi="Arial" w:cs="Arial"/>
                <w:sz w:val="20"/>
                <w:lang w:val="en-GB"/>
              </w:rPr>
              <w:t>The</w:t>
            </w:r>
            <w:r w:rsidRPr="002A5792">
              <w:rPr>
                <w:rFonts w:ascii="Arial" w:hAnsi="Arial" w:cs="Arial"/>
                <w:sz w:val="20"/>
                <w:lang w:val="en-GB"/>
              </w:rPr>
              <w:t xml:space="preserve"> opportunity to </w:t>
            </w:r>
            <w:r>
              <w:rPr>
                <w:rFonts w:ascii="Arial" w:hAnsi="Arial" w:cs="Arial"/>
                <w:sz w:val="20"/>
                <w:lang w:val="en-GB"/>
              </w:rPr>
              <w:t>offer a settlement</w:t>
            </w:r>
            <w:r w:rsidRPr="002A5792">
              <w:rPr>
                <w:rFonts w:ascii="Arial" w:hAnsi="Arial" w:cs="Arial"/>
                <w:sz w:val="20"/>
                <w:lang w:val="en-GB"/>
              </w:rPr>
              <w:t xml:space="preserve"> is after an investigation has been opened and before the end of the 20 days given to the offender to provide or request evidence of the commission of the presumed infraction. </w:t>
            </w:r>
          </w:p>
        </w:tc>
      </w:tr>
      <w:tr w:rsidR="00E11B4E" w:rsidRPr="00C3537E" w14:paraId="3ADFB9C5" w14:textId="77777777" w:rsidTr="00E11B4E">
        <w:tblPrEx>
          <w:shd w:val="clear" w:color="auto" w:fill="auto"/>
        </w:tblPrEx>
        <w:tc>
          <w:tcPr>
            <w:tcW w:w="2382" w:type="dxa"/>
            <w:tcBorders>
              <w:left w:val="nil"/>
            </w:tcBorders>
            <w:shd w:val="clear" w:color="auto" w:fill="F3DFC3"/>
          </w:tcPr>
          <w:p w14:paraId="4717C5E0" w14:textId="77777777" w:rsidR="00E11B4E" w:rsidRPr="00C3537E" w:rsidRDefault="00E11B4E" w:rsidP="00E11B4E">
            <w:pPr>
              <w:numPr>
                <w:ilvl w:val="0"/>
                <w:numId w:val="14"/>
              </w:numPr>
              <w:spacing w:before="120" w:after="120"/>
              <w:rPr>
                <w:rFonts w:ascii="Arial" w:hAnsi="Arial" w:cs="Arial"/>
                <w:b/>
                <w:sz w:val="20"/>
                <w:lang w:val="en-GB"/>
              </w:rPr>
            </w:pPr>
            <w:r w:rsidRPr="00C3537E">
              <w:rPr>
                <w:rFonts w:ascii="Arial" w:hAnsi="Arial" w:cs="Arial"/>
                <w:b/>
                <w:sz w:val="20"/>
                <w:lang w:val="en-GB"/>
              </w:rPr>
              <w:t xml:space="preserve">Does a commitment </w:t>
            </w:r>
            <w:r w:rsidRPr="00C3537E">
              <w:rPr>
                <w:rFonts w:ascii="Arial" w:hAnsi="Arial" w:cs="Arial"/>
                <w:b/>
                <w:sz w:val="20"/>
                <w:lang w:val="en-GB"/>
              </w:rPr>
              <w:lastRenderedPageBreak/>
              <w:t xml:space="preserve">decision necessitate that the parties acknowledge their liability for the violation? </w:t>
            </w:r>
          </w:p>
        </w:tc>
        <w:tc>
          <w:tcPr>
            <w:tcW w:w="6654" w:type="dxa"/>
            <w:tcBorders>
              <w:right w:val="nil"/>
            </w:tcBorders>
          </w:tcPr>
          <w:p w14:paraId="760F0FD8" w14:textId="77777777" w:rsidR="00E11B4E" w:rsidRPr="00B536C7" w:rsidRDefault="000C34CE" w:rsidP="00E11B4E">
            <w:pPr>
              <w:tabs>
                <w:tab w:val="left" w:pos="945"/>
              </w:tabs>
              <w:rPr>
                <w:rFonts w:ascii="Arial" w:hAnsi="Arial" w:cs="Arial"/>
                <w:sz w:val="20"/>
                <w:lang w:val="en-GB"/>
              </w:rPr>
            </w:pPr>
            <w:r>
              <w:rPr>
                <w:rFonts w:ascii="Arial" w:hAnsi="Arial" w:cs="Arial"/>
                <w:sz w:val="20"/>
                <w:szCs w:val="20"/>
                <w:lang w:val="en-GB"/>
              </w:rPr>
              <w:lastRenderedPageBreak/>
              <w:t>The anticipated closure of the investigation, without incurring penalties</w:t>
            </w:r>
            <w:r w:rsidRPr="009F14D7">
              <w:rPr>
                <w:rFonts w:ascii="Arial" w:hAnsi="Arial" w:cs="Arial"/>
                <w:sz w:val="20"/>
                <w:szCs w:val="20"/>
                <w:lang w:val="en-GB"/>
              </w:rPr>
              <w:t xml:space="preserve"> and without admitting a violation</w:t>
            </w:r>
            <w:r>
              <w:rPr>
                <w:rFonts w:ascii="Arial" w:hAnsi="Arial" w:cs="Arial"/>
                <w:sz w:val="20"/>
                <w:szCs w:val="20"/>
                <w:lang w:val="en-GB"/>
              </w:rPr>
              <w:t>.</w:t>
            </w:r>
          </w:p>
        </w:tc>
      </w:tr>
      <w:tr w:rsidR="00E11B4E" w:rsidRPr="00C3537E" w14:paraId="1977FA0C" w14:textId="77777777" w:rsidTr="00E11B4E">
        <w:tblPrEx>
          <w:shd w:val="clear" w:color="auto" w:fill="auto"/>
        </w:tblPrEx>
        <w:tc>
          <w:tcPr>
            <w:tcW w:w="2382" w:type="dxa"/>
            <w:tcBorders>
              <w:left w:val="nil"/>
            </w:tcBorders>
            <w:shd w:val="clear" w:color="auto" w:fill="F3DFC3"/>
          </w:tcPr>
          <w:p w14:paraId="33E68E6A" w14:textId="77777777" w:rsidR="00E11B4E" w:rsidRPr="00C3537E" w:rsidRDefault="00E11B4E" w:rsidP="00E11B4E">
            <w:pPr>
              <w:numPr>
                <w:ilvl w:val="0"/>
                <w:numId w:val="14"/>
              </w:numPr>
              <w:spacing w:before="120" w:after="120"/>
              <w:rPr>
                <w:rFonts w:ascii="Arial" w:hAnsi="Arial" w:cs="Arial"/>
                <w:b/>
                <w:sz w:val="20"/>
                <w:lang w:val="en-GB"/>
              </w:rPr>
            </w:pPr>
            <w:r w:rsidRPr="00C3537E">
              <w:rPr>
                <w:rFonts w:ascii="Arial" w:hAnsi="Arial" w:cs="Arial"/>
                <w:b/>
                <w:sz w:val="20"/>
                <w:lang w:val="en-GB"/>
              </w:rPr>
              <w:t>Describe how your authority monitors the parties’ compliance to the commitments.</w:t>
            </w:r>
          </w:p>
        </w:tc>
        <w:tc>
          <w:tcPr>
            <w:tcW w:w="6654" w:type="dxa"/>
            <w:tcBorders>
              <w:right w:val="nil"/>
            </w:tcBorders>
          </w:tcPr>
          <w:p w14:paraId="2EF235CD" w14:textId="6404F68D" w:rsidR="00E11B4E" w:rsidRDefault="00E11B4E" w:rsidP="00E11B4E">
            <w:pPr>
              <w:spacing w:before="120"/>
              <w:jc w:val="both"/>
              <w:rPr>
                <w:rFonts w:ascii="Arial" w:hAnsi="Arial" w:cs="Arial"/>
                <w:sz w:val="20"/>
                <w:szCs w:val="20"/>
              </w:rPr>
            </w:pPr>
            <w:r w:rsidRPr="00DA508C">
              <w:rPr>
                <w:rFonts w:ascii="Arial" w:hAnsi="Arial" w:cs="Arial"/>
                <w:sz w:val="20"/>
                <w:szCs w:val="20"/>
              </w:rPr>
              <w:t xml:space="preserve">If a commitment is breached, the SIC will consider it as an infringement of the competition regime and sanctions can be imposed. Prior to the imposition of a sanction, the SIC will request an explanation </w:t>
            </w:r>
            <w:r w:rsidR="00A867D3">
              <w:rPr>
                <w:rFonts w:ascii="Arial" w:hAnsi="Arial" w:cs="Arial"/>
                <w:sz w:val="20"/>
                <w:szCs w:val="20"/>
              </w:rPr>
              <w:t xml:space="preserve">from </w:t>
            </w:r>
            <w:r w:rsidRPr="00DA508C">
              <w:rPr>
                <w:rFonts w:ascii="Arial" w:hAnsi="Arial" w:cs="Arial"/>
                <w:sz w:val="20"/>
                <w:szCs w:val="20"/>
              </w:rPr>
              <w:t xml:space="preserve">the committed party. The Deputy Superintendence has the faculty </w:t>
            </w:r>
            <w:r w:rsidRPr="00DA508C">
              <w:rPr>
                <w:rFonts w:ascii="Arial" w:hAnsi="Arial" w:cs="Arial"/>
                <w:sz w:val="20"/>
                <w:szCs w:val="20"/>
                <w:lang w:val="en-GB"/>
              </w:rPr>
              <w:t xml:space="preserve">to monitor the </w:t>
            </w:r>
            <w:r w:rsidRPr="00DA508C">
              <w:rPr>
                <w:rFonts w:ascii="Arial" w:hAnsi="Arial" w:cs="Arial"/>
                <w:sz w:val="20"/>
                <w:szCs w:val="20"/>
              </w:rPr>
              <w:t>compliance of the commitments, by revising the resolutions and commitments agreed between the authority and the offender. Visits to the companies can be made as well. Articles 25 and 26 of Law 1340 of 2009 will be applied in case of non-compliance.</w:t>
            </w:r>
          </w:p>
          <w:p w14:paraId="1D06C348" w14:textId="3F2675B9" w:rsidR="00E11B4E" w:rsidRPr="008E5A0C" w:rsidRDefault="00E11B4E" w:rsidP="00E11B4E">
            <w:pPr>
              <w:spacing w:before="120"/>
              <w:jc w:val="both"/>
              <w:rPr>
                <w:rFonts w:ascii="Arial" w:hAnsi="Arial" w:cs="Arial"/>
                <w:sz w:val="20"/>
              </w:rPr>
            </w:pPr>
            <w:r w:rsidRPr="008E5A0C">
              <w:rPr>
                <w:rFonts w:ascii="Arial" w:hAnsi="Arial" w:cs="Arial"/>
                <w:sz w:val="20"/>
              </w:rPr>
              <w:t xml:space="preserve">When the Superintendence of Industry and Commerce established guarantees (in case of mergers) or accepted any kind of guarantees during an investigation of anti-competitive conduct, the competition authority has several mechanisms to follow the accomplishment of that guarantees by the market agents. The tools or mechanisms depend on the conditions established by the Superintendence and the information that is required to verify the fulfillment of the guarantee’s conditions. In this sense, the Competition Authority has three particular mechanisms to verify the guarantees accomplishment. </w:t>
            </w:r>
          </w:p>
          <w:p w14:paraId="277E5169" w14:textId="417F1731" w:rsidR="00E11B4E" w:rsidRPr="008E5A0C" w:rsidRDefault="00E11B4E" w:rsidP="00E11B4E">
            <w:pPr>
              <w:spacing w:before="120"/>
              <w:jc w:val="both"/>
              <w:rPr>
                <w:rFonts w:ascii="Arial" w:hAnsi="Arial" w:cs="Arial"/>
                <w:sz w:val="20"/>
              </w:rPr>
            </w:pPr>
            <w:r w:rsidRPr="008E5A0C">
              <w:rPr>
                <w:rFonts w:ascii="Arial" w:hAnsi="Arial" w:cs="Arial"/>
                <w:sz w:val="20"/>
              </w:rPr>
              <w:t xml:space="preserve">First, in the cases that the Superintendence established to the market agent an obligation to make reports related to guarantees implementation. In this case, the Authority can review the information reported by the market agent and verify the fulfillment of all the conditions as commercial, contractual, financial, technological, corporate, pedagogical, advertising measures, among others. Second, the Competition Authority can require information </w:t>
            </w:r>
            <w:r w:rsidR="00A867D3">
              <w:rPr>
                <w:rFonts w:ascii="Arial" w:hAnsi="Arial" w:cs="Arial"/>
                <w:sz w:val="20"/>
              </w:rPr>
              <w:t>from</w:t>
            </w:r>
            <w:r w:rsidR="00A867D3" w:rsidRPr="008E5A0C">
              <w:rPr>
                <w:rFonts w:ascii="Arial" w:hAnsi="Arial" w:cs="Arial"/>
                <w:sz w:val="20"/>
              </w:rPr>
              <w:t xml:space="preserve"> </w:t>
            </w:r>
            <w:r w:rsidRPr="008E5A0C">
              <w:rPr>
                <w:rFonts w:ascii="Arial" w:hAnsi="Arial" w:cs="Arial"/>
                <w:sz w:val="20"/>
              </w:rPr>
              <w:t>the market agent with the objective to verify all kind of aspects related to the market and the guaranties. Finally, the Superintendence can implement dawn raids with the objective to obtain additional information.</w:t>
            </w:r>
          </w:p>
          <w:p w14:paraId="34060216" w14:textId="77777777" w:rsidR="00E11B4E" w:rsidRDefault="00E11B4E" w:rsidP="00E11B4E">
            <w:pPr>
              <w:spacing w:before="120"/>
              <w:jc w:val="both"/>
              <w:rPr>
                <w:rFonts w:ascii="Arial" w:hAnsi="Arial" w:cs="Arial"/>
                <w:sz w:val="20"/>
              </w:rPr>
            </w:pPr>
            <w:r w:rsidRPr="008E5A0C">
              <w:rPr>
                <w:rFonts w:ascii="Arial" w:hAnsi="Arial" w:cs="Arial"/>
                <w:sz w:val="20"/>
              </w:rPr>
              <w:t>It is important to have in mind that if the Competition Authority identify the non-fulfillment of guarantees conditions by the market agent, the Superintendence can start an administrative procedure with the objective to sanction the violation.</w:t>
            </w:r>
          </w:p>
          <w:p w14:paraId="658AD0C5" w14:textId="77777777" w:rsidR="00E11B4E" w:rsidRPr="00C3537E" w:rsidRDefault="00E11B4E" w:rsidP="00E11B4E">
            <w:pPr>
              <w:spacing w:before="120"/>
              <w:jc w:val="both"/>
              <w:rPr>
                <w:rFonts w:ascii="Arial" w:hAnsi="Arial" w:cs="Arial"/>
                <w:sz w:val="20"/>
                <w:lang w:val="en-GB"/>
              </w:rPr>
            </w:pPr>
          </w:p>
        </w:tc>
      </w:tr>
      <w:tr w:rsidR="00E11B4E" w:rsidRPr="00C3537E" w14:paraId="0F9AA56D" w14:textId="77777777" w:rsidTr="00E11B4E">
        <w:tblPrEx>
          <w:shd w:val="clear" w:color="auto" w:fill="auto"/>
        </w:tblPrEx>
        <w:tc>
          <w:tcPr>
            <w:tcW w:w="2382" w:type="dxa"/>
            <w:tcBorders>
              <w:left w:val="nil"/>
            </w:tcBorders>
            <w:shd w:val="clear" w:color="auto" w:fill="F3DFC3"/>
          </w:tcPr>
          <w:p w14:paraId="2AC06817" w14:textId="77777777" w:rsidR="00E11B4E" w:rsidRPr="00C3537E" w:rsidRDefault="00E11B4E" w:rsidP="00E11B4E">
            <w:pPr>
              <w:numPr>
                <w:ilvl w:val="0"/>
                <w:numId w:val="14"/>
              </w:numPr>
              <w:spacing w:before="120" w:after="120"/>
              <w:rPr>
                <w:rFonts w:ascii="Arial" w:hAnsi="Arial" w:cs="Arial"/>
                <w:b/>
                <w:sz w:val="20"/>
                <w:lang w:val="en-GB"/>
              </w:rPr>
            </w:pPr>
            <w:r w:rsidRPr="00C3537E">
              <w:rPr>
                <w:rFonts w:ascii="Arial" w:hAnsi="Arial" w:cs="Arial"/>
                <w:b/>
                <w:sz w:val="20"/>
                <w:lang w:val="en-GB"/>
              </w:rPr>
              <w:t>Is there a possibility for parties to appeal a commitment decision at court?</w:t>
            </w:r>
          </w:p>
        </w:tc>
        <w:tc>
          <w:tcPr>
            <w:tcW w:w="6654" w:type="dxa"/>
            <w:tcBorders>
              <w:right w:val="nil"/>
            </w:tcBorders>
          </w:tcPr>
          <w:p w14:paraId="32660A01" w14:textId="77777777" w:rsidR="00E11B4E" w:rsidRPr="00C3537E" w:rsidRDefault="000C34CE" w:rsidP="00E11B4E">
            <w:pPr>
              <w:spacing w:before="120"/>
              <w:rPr>
                <w:rFonts w:ascii="Arial" w:hAnsi="Arial" w:cs="Arial"/>
                <w:sz w:val="20"/>
                <w:lang w:val="en-GB"/>
              </w:rPr>
            </w:pPr>
            <w:r w:rsidRPr="006B73AA">
              <w:rPr>
                <w:rFonts w:ascii="Arial" w:hAnsi="Arial" w:cs="Arial"/>
                <w:sz w:val="20"/>
                <w:szCs w:val="20"/>
                <w:lang w:val="en-GB"/>
              </w:rPr>
              <w:t xml:space="preserve">No, they cannot.  </w:t>
            </w:r>
          </w:p>
        </w:tc>
      </w:tr>
    </w:tbl>
    <w:p w14:paraId="3AC91101" w14:textId="77777777" w:rsidR="00801BB1" w:rsidRPr="00C3537E" w:rsidRDefault="00801BB1">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86"/>
        <w:gridCol w:w="3295"/>
        <w:gridCol w:w="5655"/>
      </w:tblGrid>
      <w:tr w:rsidR="007B7C69" w:rsidRPr="00C3537E" w14:paraId="21987F56" w14:textId="77777777" w:rsidTr="00F87CF4">
        <w:tc>
          <w:tcPr>
            <w:tcW w:w="9262" w:type="dxa"/>
            <w:gridSpan w:val="3"/>
            <w:shd w:val="clear" w:color="auto" w:fill="61243B"/>
          </w:tcPr>
          <w:p w14:paraId="4E9E1500"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t>Investigative powers of the enforcing institution(s)</w:t>
            </w:r>
            <w:r w:rsidRPr="00C3537E">
              <w:rPr>
                <w:rStyle w:val="Refdenotaalpie"/>
                <w:rFonts w:cs="Arial"/>
                <w:color w:val="FFFFFF"/>
                <w:lang w:val="en-GB"/>
              </w:rPr>
              <w:footnoteReference w:id="9"/>
            </w:r>
          </w:p>
        </w:tc>
      </w:tr>
      <w:tr w:rsidR="007B7C69" w:rsidRPr="00C3537E" w14:paraId="6D1E8A31" w14:textId="77777777" w:rsidTr="00F87CF4">
        <w:tblPrEx>
          <w:shd w:val="clear" w:color="auto" w:fill="auto"/>
        </w:tblPrEx>
        <w:trPr>
          <w:gridBefore w:val="1"/>
          <w:wBefore w:w="90" w:type="dxa"/>
        </w:trPr>
        <w:tc>
          <w:tcPr>
            <w:tcW w:w="3346" w:type="dxa"/>
            <w:tcBorders>
              <w:left w:val="nil"/>
            </w:tcBorders>
            <w:shd w:val="clear" w:color="auto" w:fill="F3DFC3"/>
          </w:tcPr>
          <w:p w14:paraId="7259D404" w14:textId="77777777" w:rsidR="007B7C69" w:rsidRPr="00C3537E" w:rsidRDefault="007B7C69" w:rsidP="007B7C69">
            <w:pPr>
              <w:numPr>
                <w:ilvl w:val="0"/>
                <w:numId w:val="17"/>
              </w:numPr>
              <w:spacing w:before="120" w:after="120"/>
              <w:rPr>
                <w:rFonts w:ascii="Arial" w:hAnsi="Arial" w:cs="Arial"/>
                <w:b/>
                <w:bCs/>
                <w:sz w:val="20"/>
                <w:lang w:val="en-GB"/>
              </w:rPr>
            </w:pPr>
            <w:r w:rsidRPr="00C3537E">
              <w:rPr>
                <w:rFonts w:ascii="Arial" w:hAnsi="Arial" w:cs="Arial"/>
                <w:b/>
                <w:bCs/>
                <w:sz w:val="20"/>
                <w:lang w:val="en-GB"/>
              </w:rPr>
              <w:t xml:space="preserve">Briefly describe the investigative measures available to the enforcing agency such as requests for information, </w:t>
            </w:r>
            <w:r w:rsidRPr="00C3537E">
              <w:rPr>
                <w:rFonts w:ascii="Arial" w:hAnsi="Arial" w:cs="Arial"/>
                <w:b/>
                <w:bCs/>
                <w:sz w:val="20"/>
                <w:lang w:val="en-GB"/>
              </w:rPr>
              <w:lastRenderedPageBreak/>
              <w:t>searches/raids</w:t>
            </w:r>
            <w:r w:rsidRPr="00C3537E">
              <w:rPr>
                <w:rStyle w:val="Refdenotaalpie"/>
                <w:rFonts w:cs="Arial"/>
                <w:b/>
                <w:bCs/>
                <w:lang w:val="en-GB"/>
              </w:rPr>
              <w:footnoteReference w:id="10"/>
            </w:r>
            <w:r w:rsidRPr="00C3537E">
              <w:rPr>
                <w:rFonts w:ascii="Arial" w:hAnsi="Arial" w:cs="Arial"/>
                <w:b/>
                <w:bCs/>
                <w:sz w:val="20"/>
                <w:lang w:val="en-GB"/>
              </w:rPr>
              <w:t>, electronic or computer searches, expert opinion, etc. and indicate whether such measures requires a court warrant.</w:t>
            </w:r>
          </w:p>
        </w:tc>
        <w:tc>
          <w:tcPr>
            <w:tcW w:w="5826" w:type="dxa"/>
            <w:tcBorders>
              <w:right w:val="nil"/>
            </w:tcBorders>
          </w:tcPr>
          <w:p w14:paraId="7B278C1E" w14:textId="77777777" w:rsidR="007B7C69" w:rsidRDefault="00F22D03" w:rsidP="00F22D03">
            <w:pPr>
              <w:spacing w:before="120"/>
              <w:jc w:val="both"/>
              <w:rPr>
                <w:rFonts w:ascii="Arial" w:hAnsi="Arial" w:cs="Arial"/>
                <w:sz w:val="20"/>
                <w:lang w:val="en-GB"/>
              </w:rPr>
            </w:pPr>
            <w:r>
              <w:rPr>
                <w:rFonts w:ascii="Arial" w:hAnsi="Arial" w:cs="Arial"/>
                <w:sz w:val="20"/>
                <w:szCs w:val="20"/>
                <w:lang w:val="en-GB"/>
              </w:rPr>
              <w:lastRenderedPageBreak/>
              <w:t xml:space="preserve">According to numbers 62, 63 and 64 of Article 1 of Decree 4886 of 2011, the SIC, without any court warrant, has the faculty to request information; practice all type of searches and/or dawn raids, including emails, computers, or any </w:t>
            </w:r>
            <w:r>
              <w:rPr>
                <w:rFonts w:ascii="Arial" w:hAnsi="Arial" w:cs="Arial"/>
                <w:sz w:val="20"/>
                <w:szCs w:val="20"/>
                <w:lang w:val="en-GB"/>
              </w:rPr>
              <w:lastRenderedPageBreak/>
              <w:t xml:space="preserve">electronic device; receive testimonies under oath; among others.   </w:t>
            </w:r>
          </w:p>
          <w:p w14:paraId="3737660B" w14:textId="77777777" w:rsidR="00F22D03" w:rsidRDefault="00F22D03" w:rsidP="00F22D03">
            <w:pPr>
              <w:rPr>
                <w:rFonts w:ascii="Arial" w:hAnsi="Arial" w:cs="Arial"/>
                <w:sz w:val="20"/>
                <w:lang w:val="en-GB"/>
              </w:rPr>
            </w:pPr>
          </w:p>
          <w:p w14:paraId="6352734F" w14:textId="77777777" w:rsidR="00F22D03" w:rsidRPr="00F22D03" w:rsidRDefault="00F22D03" w:rsidP="00F22D03">
            <w:pPr>
              <w:jc w:val="center"/>
              <w:rPr>
                <w:rFonts w:ascii="Arial" w:hAnsi="Arial" w:cs="Arial"/>
                <w:lang w:val="en-GB"/>
              </w:rPr>
            </w:pPr>
          </w:p>
        </w:tc>
      </w:tr>
      <w:tr w:rsidR="007B7C69" w:rsidRPr="00C3537E" w14:paraId="7F445121" w14:textId="77777777" w:rsidTr="00F87CF4">
        <w:tblPrEx>
          <w:shd w:val="clear" w:color="auto" w:fill="auto"/>
        </w:tblPrEx>
        <w:trPr>
          <w:gridBefore w:val="1"/>
          <w:wBefore w:w="90" w:type="dxa"/>
        </w:trPr>
        <w:tc>
          <w:tcPr>
            <w:tcW w:w="3346" w:type="dxa"/>
            <w:tcBorders>
              <w:left w:val="nil"/>
            </w:tcBorders>
            <w:shd w:val="clear" w:color="auto" w:fill="F3DFC3"/>
          </w:tcPr>
          <w:p w14:paraId="47A87A9A" w14:textId="77777777" w:rsidR="007B7C69" w:rsidRPr="00C3537E" w:rsidRDefault="007B7C69" w:rsidP="007B7C69">
            <w:pPr>
              <w:numPr>
                <w:ilvl w:val="0"/>
                <w:numId w:val="17"/>
              </w:numPr>
              <w:spacing w:before="120" w:after="120"/>
              <w:rPr>
                <w:rFonts w:ascii="Arial" w:hAnsi="Arial" w:cs="Arial"/>
                <w:b/>
                <w:bCs/>
                <w:sz w:val="20"/>
                <w:lang w:val="en-GB"/>
              </w:rPr>
            </w:pPr>
            <w:r w:rsidRPr="00C3537E">
              <w:rPr>
                <w:rFonts w:ascii="Arial" w:hAnsi="Arial" w:cs="Arial"/>
                <w:b/>
                <w:bCs/>
                <w:sz w:val="20"/>
                <w:lang w:val="en-GB"/>
              </w:rPr>
              <w:lastRenderedPageBreak/>
              <w:t>Can private locations, such as residences, automobiles, briefcases and persons be searched, raided or inspected? Does this require authorisation by a court?</w:t>
            </w:r>
          </w:p>
        </w:tc>
        <w:tc>
          <w:tcPr>
            <w:tcW w:w="5826" w:type="dxa"/>
            <w:tcBorders>
              <w:right w:val="nil"/>
            </w:tcBorders>
          </w:tcPr>
          <w:p w14:paraId="25744914" w14:textId="77777777" w:rsidR="007B7C69" w:rsidRDefault="00F22D03" w:rsidP="00F22D03">
            <w:pPr>
              <w:spacing w:before="120"/>
              <w:jc w:val="both"/>
              <w:rPr>
                <w:rFonts w:ascii="Arial" w:hAnsi="Arial" w:cs="Arial"/>
                <w:sz w:val="20"/>
                <w:szCs w:val="20"/>
                <w:lang w:val="en-GB"/>
              </w:rPr>
            </w:pPr>
            <w:r w:rsidRPr="006B73AA">
              <w:rPr>
                <w:rFonts w:ascii="Arial" w:hAnsi="Arial" w:cs="Arial"/>
                <w:bCs/>
                <w:sz w:val="20"/>
                <w:szCs w:val="20"/>
                <w:lang w:val="en-GB"/>
              </w:rPr>
              <w:t>Private locations</w:t>
            </w:r>
            <w:r w:rsidR="006A1AE9">
              <w:rPr>
                <w:rFonts w:ascii="Arial" w:hAnsi="Arial" w:cs="Arial"/>
                <w:bCs/>
                <w:sz w:val="20"/>
                <w:szCs w:val="20"/>
                <w:lang w:val="en-GB"/>
              </w:rPr>
              <w:t xml:space="preserve"> </w:t>
            </w:r>
            <w:r w:rsidR="005762D7">
              <w:rPr>
                <w:rFonts w:ascii="Arial" w:hAnsi="Arial" w:cs="Arial"/>
                <w:bCs/>
                <w:sz w:val="20"/>
                <w:szCs w:val="20"/>
                <w:lang w:val="en-GB"/>
              </w:rPr>
              <w:t>different from places related with the investigated economic activity</w:t>
            </w:r>
            <w:r w:rsidRPr="006B73AA">
              <w:rPr>
                <w:rFonts w:ascii="Arial" w:hAnsi="Arial" w:cs="Arial"/>
                <w:sz w:val="20"/>
                <w:szCs w:val="20"/>
                <w:lang w:val="en-GB"/>
              </w:rPr>
              <w:t xml:space="preserve"> cannot be inspected. However, mobile phones used for business purpose</w:t>
            </w:r>
            <w:r>
              <w:rPr>
                <w:rFonts w:ascii="Arial" w:hAnsi="Arial" w:cs="Arial"/>
                <w:sz w:val="20"/>
                <w:szCs w:val="20"/>
                <w:lang w:val="en-GB"/>
              </w:rPr>
              <w:t>s</w:t>
            </w:r>
            <w:r w:rsidRPr="006B73AA">
              <w:rPr>
                <w:rFonts w:ascii="Arial" w:hAnsi="Arial" w:cs="Arial"/>
                <w:sz w:val="20"/>
                <w:szCs w:val="20"/>
                <w:lang w:val="en-GB"/>
              </w:rPr>
              <w:t xml:space="preserve"> can be searched.</w:t>
            </w:r>
            <w:r w:rsidR="006A1AE9">
              <w:rPr>
                <w:rFonts w:ascii="Arial" w:hAnsi="Arial" w:cs="Arial"/>
                <w:sz w:val="20"/>
                <w:szCs w:val="20"/>
                <w:lang w:val="en-GB"/>
              </w:rPr>
              <w:t xml:space="preserve"> </w:t>
            </w:r>
            <w:r w:rsidRPr="0098057B">
              <w:rPr>
                <w:rFonts w:ascii="Arial" w:hAnsi="Arial" w:cs="Arial"/>
                <w:sz w:val="20"/>
                <w:szCs w:val="20"/>
                <w:lang w:val="en-GB"/>
              </w:rPr>
              <w:t xml:space="preserve">The consent of the </w:t>
            </w:r>
            <w:r>
              <w:rPr>
                <w:rFonts w:ascii="Arial" w:hAnsi="Arial" w:cs="Arial"/>
                <w:sz w:val="20"/>
                <w:szCs w:val="20"/>
                <w:lang w:val="en-GB"/>
              </w:rPr>
              <w:t xml:space="preserve">mobile phone’s owner </w:t>
            </w:r>
            <w:r w:rsidRPr="0098057B">
              <w:rPr>
                <w:rFonts w:ascii="Arial" w:hAnsi="Arial" w:cs="Arial"/>
                <w:sz w:val="20"/>
                <w:szCs w:val="20"/>
                <w:lang w:val="en-GB"/>
              </w:rPr>
              <w:t xml:space="preserve">must </w:t>
            </w:r>
            <w:r>
              <w:rPr>
                <w:rFonts w:ascii="Arial" w:hAnsi="Arial" w:cs="Arial"/>
                <w:sz w:val="20"/>
                <w:szCs w:val="20"/>
                <w:lang w:val="en-GB"/>
              </w:rPr>
              <w:t xml:space="preserve">be </w:t>
            </w:r>
            <w:r w:rsidRPr="0098057B">
              <w:rPr>
                <w:rFonts w:ascii="Arial" w:hAnsi="Arial" w:cs="Arial"/>
                <w:sz w:val="20"/>
                <w:szCs w:val="20"/>
                <w:lang w:val="en-GB"/>
              </w:rPr>
              <w:t>give</w:t>
            </w:r>
            <w:r>
              <w:rPr>
                <w:rFonts w:ascii="Arial" w:hAnsi="Arial" w:cs="Arial"/>
                <w:sz w:val="20"/>
                <w:szCs w:val="20"/>
                <w:lang w:val="en-GB"/>
              </w:rPr>
              <w:t>n</w:t>
            </w:r>
            <w:r w:rsidRPr="00A25522">
              <w:rPr>
                <w:rFonts w:ascii="Arial" w:hAnsi="Arial" w:cs="Arial"/>
                <w:i/>
                <w:sz w:val="20"/>
                <w:szCs w:val="20"/>
                <w:lang w:val="en-GB"/>
              </w:rPr>
              <w:t>.</w:t>
            </w:r>
            <w:r w:rsidRPr="00A25522">
              <w:rPr>
                <w:rFonts w:ascii="Arial" w:hAnsi="Arial" w:cs="Arial"/>
                <w:sz w:val="20"/>
                <w:szCs w:val="20"/>
                <w:lang w:val="en-GB"/>
              </w:rPr>
              <w:t>Our investigation powers are given by law and they are not subject to a court order.</w:t>
            </w:r>
          </w:p>
          <w:p w14:paraId="792443A7" w14:textId="77777777" w:rsidR="005762D7" w:rsidRPr="00C3537E" w:rsidRDefault="005762D7" w:rsidP="00F22D03">
            <w:pPr>
              <w:spacing w:before="120"/>
              <w:jc w:val="both"/>
              <w:rPr>
                <w:rFonts w:ascii="Arial" w:hAnsi="Arial" w:cs="Arial"/>
                <w:sz w:val="20"/>
                <w:lang w:val="en-GB"/>
              </w:rPr>
            </w:pPr>
            <w:r>
              <w:rPr>
                <w:rFonts w:ascii="Arial" w:hAnsi="Arial" w:cs="Arial"/>
                <w:sz w:val="20"/>
                <w:szCs w:val="20"/>
                <w:lang w:val="en-GB"/>
              </w:rPr>
              <w:t>The Constitutional Court through Constitutional Statement 165 of 2019 stablished that the Superintendence of Industry and Commerce is faculty to request information and practice dawn raids without</w:t>
            </w:r>
            <w:r w:rsidRPr="001D4831">
              <w:rPr>
                <w:rFonts w:ascii="Arial" w:hAnsi="Arial" w:cs="Arial"/>
                <w:sz w:val="20"/>
                <w:szCs w:val="20"/>
                <w:lang w:val="en-GB"/>
              </w:rPr>
              <w:t xml:space="preserve"> prior judicial authorization or subsequent legality control</w:t>
            </w:r>
            <w:r>
              <w:rPr>
                <w:rFonts w:ascii="Arial" w:hAnsi="Arial" w:cs="Arial"/>
                <w:sz w:val="20"/>
                <w:szCs w:val="20"/>
                <w:lang w:val="en-GB"/>
              </w:rPr>
              <w:t>.</w:t>
            </w:r>
          </w:p>
        </w:tc>
      </w:tr>
      <w:tr w:rsidR="00A922D7" w:rsidRPr="00C3537E" w14:paraId="4C425052" w14:textId="77777777" w:rsidTr="00F87CF4">
        <w:tblPrEx>
          <w:shd w:val="clear" w:color="auto" w:fill="auto"/>
        </w:tblPrEx>
        <w:trPr>
          <w:gridBefore w:val="1"/>
          <w:wBefore w:w="90" w:type="dxa"/>
        </w:trPr>
        <w:tc>
          <w:tcPr>
            <w:tcW w:w="3346" w:type="dxa"/>
            <w:tcBorders>
              <w:left w:val="nil"/>
            </w:tcBorders>
            <w:shd w:val="clear" w:color="auto" w:fill="F3DFC3"/>
          </w:tcPr>
          <w:p w14:paraId="7AE95BBE" w14:textId="77777777" w:rsidR="00A922D7" w:rsidRPr="00C3537E" w:rsidRDefault="00A922D7" w:rsidP="007B7C69">
            <w:pPr>
              <w:numPr>
                <w:ilvl w:val="0"/>
                <w:numId w:val="17"/>
              </w:numPr>
              <w:spacing w:before="120" w:after="120"/>
              <w:rPr>
                <w:rFonts w:ascii="Arial" w:hAnsi="Arial" w:cs="Arial"/>
                <w:b/>
                <w:bCs/>
                <w:sz w:val="20"/>
                <w:lang w:val="en-GB"/>
              </w:rPr>
            </w:pPr>
            <w:r w:rsidRPr="00F22D03">
              <w:rPr>
                <w:rFonts w:ascii="Arial" w:hAnsi="Arial" w:cs="Arial"/>
                <w:b/>
                <w:bCs/>
                <w:sz w:val="20"/>
                <w:lang w:val="en-GB"/>
              </w:rPr>
              <w:t>Can servers located outside the territory (abroad or in a cloud) be inspected? Are there special rules for this investigative power? Please explain</w:t>
            </w:r>
            <w:r w:rsidR="00F22D03">
              <w:rPr>
                <w:rFonts w:ascii="Arial" w:hAnsi="Arial" w:cs="Arial"/>
                <w:b/>
                <w:bCs/>
                <w:sz w:val="20"/>
                <w:lang w:val="en-GB"/>
              </w:rPr>
              <w:t>.</w:t>
            </w:r>
          </w:p>
        </w:tc>
        <w:tc>
          <w:tcPr>
            <w:tcW w:w="5826" w:type="dxa"/>
            <w:tcBorders>
              <w:right w:val="nil"/>
            </w:tcBorders>
          </w:tcPr>
          <w:p w14:paraId="6571727F" w14:textId="77777777" w:rsidR="00A922D7" w:rsidRPr="00C3537E" w:rsidRDefault="00F22D03" w:rsidP="00F22D03">
            <w:pPr>
              <w:spacing w:before="120"/>
              <w:jc w:val="both"/>
              <w:rPr>
                <w:rFonts w:ascii="Arial" w:hAnsi="Arial" w:cs="Arial"/>
                <w:sz w:val="20"/>
                <w:lang w:val="en-GB"/>
              </w:rPr>
            </w:pPr>
            <w:r>
              <w:rPr>
                <w:rFonts w:ascii="Arial" w:hAnsi="Arial" w:cs="Arial"/>
                <w:sz w:val="20"/>
                <w:lang w:val="en-GB"/>
              </w:rPr>
              <w:t xml:space="preserve">No. The faculties to request information and practice dawn raids exists exclusively within the national territory. This, considering that the Superintendence </w:t>
            </w:r>
            <w:r w:rsidR="005762D7">
              <w:rPr>
                <w:rFonts w:ascii="Arial" w:hAnsi="Arial" w:cs="Arial"/>
                <w:sz w:val="20"/>
                <w:lang w:val="en-GB"/>
              </w:rPr>
              <w:t>of</w:t>
            </w:r>
            <w:r>
              <w:rPr>
                <w:rFonts w:ascii="Arial" w:hAnsi="Arial" w:cs="Arial"/>
                <w:sz w:val="20"/>
                <w:lang w:val="en-GB"/>
              </w:rPr>
              <w:t xml:space="preserve"> Industry and Commerce competence are only referred to the national territory.</w:t>
            </w:r>
          </w:p>
        </w:tc>
      </w:tr>
      <w:tr w:rsidR="007B7C69" w:rsidRPr="00C3537E" w14:paraId="352C333F" w14:textId="77777777" w:rsidTr="00F87CF4">
        <w:tblPrEx>
          <w:shd w:val="clear" w:color="auto" w:fill="auto"/>
        </w:tblPrEx>
        <w:trPr>
          <w:gridBefore w:val="1"/>
          <w:wBefore w:w="90" w:type="dxa"/>
        </w:trPr>
        <w:tc>
          <w:tcPr>
            <w:tcW w:w="3346" w:type="dxa"/>
            <w:tcBorders>
              <w:left w:val="nil"/>
            </w:tcBorders>
            <w:shd w:val="clear" w:color="auto" w:fill="F3DFC3"/>
          </w:tcPr>
          <w:p w14:paraId="27103FFE" w14:textId="77777777" w:rsidR="007B7C69" w:rsidRPr="00C3537E" w:rsidRDefault="00A64129" w:rsidP="007B7C69">
            <w:pPr>
              <w:numPr>
                <w:ilvl w:val="0"/>
                <w:numId w:val="17"/>
              </w:numPr>
              <w:spacing w:before="120" w:after="120"/>
              <w:rPr>
                <w:rFonts w:ascii="Arial" w:hAnsi="Arial" w:cs="Arial"/>
                <w:b/>
                <w:bCs/>
                <w:sz w:val="20"/>
                <w:lang w:val="en-GB"/>
              </w:rPr>
            </w:pPr>
            <w:r>
              <w:rPr>
                <w:rFonts w:ascii="Arial" w:hAnsi="Arial" w:cs="Arial"/>
                <w:b/>
                <w:bCs/>
                <w:sz w:val="20"/>
                <w:lang w:val="en-GB"/>
              </w:rPr>
              <w:t>May evidence not falling</w:t>
            </w:r>
            <w:r w:rsidR="006A1AE9">
              <w:rPr>
                <w:rFonts w:ascii="Arial" w:hAnsi="Arial" w:cs="Arial"/>
                <w:b/>
                <w:bCs/>
                <w:sz w:val="20"/>
                <w:lang w:val="en-GB"/>
              </w:rPr>
              <w:t xml:space="preserve"> </w:t>
            </w:r>
            <w:r w:rsidR="007B7C69" w:rsidRPr="00C3537E">
              <w:rPr>
                <w:rFonts w:ascii="Arial" w:hAnsi="Arial" w:cs="Arial"/>
                <w:b/>
                <w:bCs/>
                <w:sz w:val="20"/>
                <w:lang w:val="en-GB"/>
              </w:rPr>
              <w:t>under the scope of the authorisation allowing the inspection be seized / used as evidence in another case? If yes, under which circumstances (e.g. is a post-search court warrant needed)?</w:t>
            </w:r>
          </w:p>
        </w:tc>
        <w:tc>
          <w:tcPr>
            <w:tcW w:w="5826" w:type="dxa"/>
            <w:tcBorders>
              <w:right w:val="nil"/>
            </w:tcBorders>
          </w:tcPr>
          <w:p w14:paraId="3573C3D3" w14:textId="77777777" w:rsidR="007B7C69" w:rsidRPr="00C3537E" w:rsidRDefault="00F22D03" w:rsidP="00F22D03">
            <w:pPr>
              <w:spacing w:before="120"/>
              <w:jc w:val="both"/>
              <w:rPr>
                <w:rFonts w:ascii="Arial" w:hAnsi="Arial" w:cs="Arial"/>
                <w:sz w:val="20"/>
                <w:lang w:val="en-GB"/>
              </w:rPr>
            </w:pPr>
            <w:r w:rsidRPr="00B2248C">
              <w:rPr>
                <w:rFonts w:ascii="Arial" w:hAnsi="Arial" w:cs="Arial"/>
                <w:sz w:val="20"/>
                <w:szCs w:val="20"/>
                <w:lang w:val="en-GB"/>
              </w:rPr>
              <w:t>No, they cannot. The evid</w:t>
            </w:r>
            <w:r>
              <w:rPr>
                <w:rFonts w:ascii="Arial" w:hAnsi="Arial" w:cs="Arial"/>
                <w:sz w:val="20"/>
                <w:szCs w:val="20"/>
                <w:lang w:val="en-GB"/>
              </w:rPr>
              <w:t>ence collected for one case is used exclusively in it</w:t>
            </w:r>
            <w:r w:rsidRPr="00B2248C">
              <w:rPr>
                <w:rFonts w:ascii="Arial" w:hAnsi="Arial" w:cs="Arial"/>
                <w:sz w:val="20"/>
                <w:szCs w:val="20"/>
                <w:lang w:val="en-GB"/>
              </w:rPr>
              <w:t xml:space="preserve">. However, rules from the Procedure Civil Code allow the </w:t>
            </w:r>
            <w:r w:rsidRPr="00061C5A">
              <w:rPr>
                <w:rFonts w:ascii="Arial" w:hAnsi="Arial" w:cs="Arial"/>
                <w:sz w:val="20"/>
                <w:szCs w:val="20"/>
                <w:lang w:val="en-GB"/>
              </w:rPr>
              <w:t>transfer of evidence from one case to another when they result useful.  Such transfers</w:t>
            </w:r>
            <w:r w:rsidRPr="00B2248C">
              <w:rPr>
                <w:rFonts w:ascii="Arial" w:hAnsi="Arial" w:cs="Arial"/>
                <w:sz w:val="20"/>
                <w:szCs w:val="20"/>
                <w:lang w:val="en-GB"/>
              </w:rPr>
              <w:t xml:space="preserve"> must be done </w:t>
            </w:r>
            <w:r>
              <w:rPr>
                <w:rFonts w:ascii="Arial" w:hAnsi="Arial" w:cs="Arial"/>
                <w:sz w:val="20"/>
                <w:szCs w:val="20"/>
                <w:lang w:val="en-GB"/>
              </w:rPr>
              <w:t>using certified copies</w:t>
            </w:r>
            <w:r w:rsidRPr="00B2248C">
              <w:rPr>
                <w:rFonts w:ascii="Arial" w:hAnsi="Arial" w:cs="Arial"/>
                <w:sz w:val="20"/>
                <w:szCs w:val="20"/>
                <w:lang w:val="en-GB"/>
              </w:rPr>
              <w:t>.</w:t>
            </w:r>
          </w:p>
        </w:tc>
      </w:tr>
      <w:tr w:rsidR="007B7C69" w:rsidRPr="00C3537E" w14:paraId="195FBC75" w14:textId="77777777" w:rsidTr="00F87CF4">
        <w:tblPrEx>
          <w:shd w:val="clear" w:color="auto" w:fill="auto"/>
        </w:tblPrEx>
        <w:trPr>
          <w:gridBefore w:val="1"/>
          <w:wBefore w:w="90" w:type="dxa"/>
        </w:trPr>
        <w:tc>
          <w:tcPr>
            <w:tcW w:w="3346" w:type="dxa"/>
            <w:tcBorders>
              <w:left w:val="nil"/>
            </w:tcBorders>
            <w:shd w:val="clear" w:color="auto" w:fill="F3DFC3"/>
          </w:tcPr>
          <w:p w14:paraId="7BB6B733" w14:textId="77777777" w:rsidR="007B7C69" w:rsidRPr="00C3537E" w:rsidRDefault="007B7C69" w:rsidP="007B7C69">
            <w:pPr>
              <w:numPr>
                <w:ilvl w:val="0"/>
                <w:numId w:val="17"/>
              </w:numPr>
              <w:spacing w:before="120" w:after="120"/>
              <w:rPr>
                <w:rFonts w:ascii="Arial" w:hAnsi="Arial" w:cs="Arial"/>
                <w:b/>
                <w:bCs/>
                <w:sz w:val="20"/>
                <w:lang w:val="en-GB"/>
              </w:rPr>
            </w:pPr>
            <w:r w:rsidRPr="00C3537E">
              <w:rPr>
                <w:rFonts w:ascii="Arial" w:hAnsi="Arial" w:cs="Arial"/>
                <w:b/>
                <w:bCs/>
                <w:sz w:val="20"/>
                <w:lang w:val="en-GB"/>
              </w:rPr>
              <w:t>Have there been significant legal challenges to your use of investigative measures authorized by the courts? If yes, please briefly describe them.</w:t>
            </w:r>
          </w:p>
        </w:tc>
        <w:tc>
          <w:tcPr>
            <w:tcW w:w="5826" w:type="dxa"/>
            <w:tcBorders>
              <w:right w:val="nil"/>
            </w:tcBorders>
          </w:tcPr>
          <w:p w14:paraId="2B9F0C06" w14:textId="77777777" w:rsidR="00F22D03" w:rsidRDefault="00F22D03" w:rsidP="00D50EC5">
            <w:pPr>
              <w:spacing w:before="120"/>
              <w:jc w:val="both"/>
              <w:rPr>
                <w:rFonts w:ascii="Arial" w:hAnsi="Arial" w:cs="Arial"/>
                <w:sz w:val="20"/>
                <w:szCs w:val="20"/>
                <w:lang w:val="en-GB"/>
              </w:rPr>
            </w:pPr>
            <w:r w:rsidRPr="006B73AA">
              <w:rPr>
                <w:rFonts w:ascii="Arial" w:hAnsi="Arial" w:cs="Arial"/>
                <w:sz w:val="20"/>
                <w:szCs w:val="20"/>
                <w:lang w:val="en-GB"/>
              </w:rPr>
              <w:t xml:space="preserve">Our investigation </w:t>
            </w:r>
            <w:r>
              <w:rPr>
                <w:rFonts w:ascii="Arial" w:hAnsi="Arial" w:cs="Arial"/>
                <w:sz w:val="20"/>
                <w:szCs w:val="20"/>
                <w:lang w:val="en-GB"/>
              </w:rPr>
              <w:t>powers</w:t>
            </w:r>
            <w:r w:rsidRPr="006B73AA">
              <w:rPr>
                <w:rFonts w:ascii="Arial" w:hAnsi="Arial" w:cs="Arial"/>
                <w:sz w:val="20"/>
                <w:szCs w:val="20"/>
                <w:lang w:val="en-GB"/>
              </w:rPr>
              <w:t xml:space="preserve"> are given by law and they are not subject to a court order. </w:t>
            </w:r>
            <w:r>
              <w:rPr>
                <w:rFonts w:ascii="Arial" w:hAnsi="Arial" w:cs="Arial"/>
                <w:sz w:val="20"/>
                <w:szCs w:val="20"/>
                <w:lang w:val="en-GB"/>
              </w:rPr>
              <w:t>Bearing this in mind, w</w:t>
            </w:r>
            <w:r w:rsidRPr="006B73AA">
              <w:rPr>
                <w:rFonts w:ascii="Arial" w:hAnsi="Arial" w:cs="Arial"/>
                <w:sz w:val="20"/>
                <w:szCs w:val="20"/>
                <w:lang w:val="en-GB"/>
              </w:rPr>
              <w:t xml:space="preserve">e have not had any amendment of </w:t>
            </w:r>
            <w:r>
              <w:rPr>
                <w:rFonts w:ascii="Arial" w:hAnsi="Arial" w:cs="Arial"/>
                <w:sz w:val="20"/>
                <w:szCs w:val="20"/>
                <w:lang w:val="en-GB"/>
              </w:rPr>
              <w:t>modifications to the use of investigative measures. The last amendment was made on 2011 by the Decree 4886.</w:t>
            </w:r>
          </w:p>
          <w:p w14:paraId="0F9D1C9F" w14:textId="77777777" w:rsidR="00F22D03" w:rsidRPr="00F22D03" w:rsidRDefault="00F22D03" w:rsidP="00D50EC5">
            <w:pPr>
              <w:spacing w:before="120"/>
              <w:jc w:val="both"/>
              <w:rPr>
                <w:rFonts w:ascii="Arial" w:hAnsi="Arial" w:cs="Arial"/>
                <w:sz w:val="20"/>
                <w:szCs w:val="20"/>
                <w:lang w:val="en-GB"/>
              </w:rPr>
            </w:pPr>
            <w:r>
              <w:rPr>
                <w:rFonts w:ascii="Arial" w:hAnsi="Arial" w:cs="Arial"/>
                <w:sz w:val="20"/>
                <w:szCs w:val="20"/>
                <w:lang w:val="en-GB"/>
              </w:rPr>
              <w:t xml:space="preserve">The Constitutional Court </w:t>
            </w:r>
            <w:r w:rsidR="00D50EC5">
              <w:rPr>
                <w:rFonts w:ascii="Arial" w:hAnsi="Arial" w:cs="Arial"/>
                <w:sz w:val="20"/>
                <w:szCs w:val="20"/>
                <w:lang w:val="en-GB"/>
              </w:rPr>
              <w:t xml:space="preserve">through </w:t>
            </w:r>
            <w:r w:rsidR="005762D7">
              <w:rPr>
                <w:rFonts w:ascii="Arial" w:hAnsi="Arial" w:cs="Arial"/>
                <w:sz w:val="20"/>
                <w:szCs w:val="20"/>
                <w:lang w:val="en-GB"/>
              </w:rPr>
              <w:t>C</w:t>
            </w:r>
            <w:r w:rsidR="00D50EC5">
              <w:rPr>
                <w:rFonts w:ascii="Arial" w:hAnsi="Arial" w:cs="Arial"/>
                <w:sz w:val="20"/>
                <w:szCs w:val="20"/>
                <w:lang w:val="en-GB"/>
              </w:rPr>
              <w:t xml:space="preserve">onstitutional </w:t>
            </w:r>
            <w:r w:rsidR="005762D7">
              <w:rPr>
                <w:rFonts w:ascii="Arial" w:hAnsi="Arial" w:cs="Arial"/>
                <w:sz w:val="20"/>
                <w:szCs w:val="20"/>
                <w:lang w:val="en-GB"/>
              </w:rPr>
              <w:t>S</w:t>
            </w:r>
            <w:r w:rsidR="001D4831">
              <w:rPr>
                <w:rFonts w:ascii="Arial" w:hAnsi="Arial" w:cs="Arial"/>
                <w:sz w:val="20"/>
                <w:szCs w:val="20"/>
                <w:lang w:val="en-GB"/>
              </w:rPr>
              <w:t>tatement</w:t>
            </w:r>
            <w:r w:rsidR="00D50EC5">
              <w:rPr>
                <w:rFonts w:ascii="Arial" w:hAnsi="Arial" w:cs="Arial"/>
                <w:sz w:val="20"/>
                <w:szCs w:val="20"/>
                <w:lang w:val="en-GB"/>
              </w:rPr>
              <w:t xml:space="preserve"> 165 of 2019 </w:t>
            </w:r>
            <w:r w:rsidR="001D4831">
              <w:rPr>
                <w:rFonts w:ascii="Arial" w:hAnsi="Arial" w:cs="Arial"/>
                <w:sz w:val="20"/>
                <w:szCs w:val="20"/>
                <w:lang w:val="en-GB"/>
              </w:rPr>
              <w:t>stablishe</w:t>
            </w:r>
            <w:r w:rsidR="00C814A2">
              <w:rPr>
                <w:rFonts w:ascii="Arial" w:hAnsi="Arial" w:cs="Arial"/>
                <w:sz w:val="20"/>
                <w:szCs w:val="20"/>
                <w:lang w:val="en-GB"/>
              </w:rPr>
              <w:t>d</w:t>
            </w:r>
            <w:r w:rsidR="001D4831">
              <w:rPr>
                <w:rFonts w:ascii="Arial" w:hAnsi="Arial" w:cs="Arial"/>
                <w:sz w:val="20"/>
                <w:szCs w:val="20"/>
                <w:lang w:val="en-GB"/>
              </w:rPr>
              <w:t xml:space="preserve"> that the </w:t>
            </w:r>
            <w:r w:rsidR="00C814A2">
              <w:rPr>
                <w:rFonts w:ascii="Arial" w:hAnsi="Arial" w:cs="Arial"/>
                <w:sz w:val="20"/>
                <w:szCs w:val="20"/>
                <w:lang w:val="en-GB"/>
              </w:rPr>
              <w:t>Superintendence of Industry and Commerce is faculty</w:t>
            </w:r>
            <w:r w:rsidR="001D4831">
              <w:rPr>
                <w:rFonts w:ascii="Arial" w:hAnsi="Arial" w:cs="Arial"/>
                <w:sz w:val="20"/>
                <w:szCs w:val="20"/>
                <w:lang w:val="en-GB"/>
              </w:rPr>
              <w:t xml:space="preserve"> to request information and practice dawn raids </w:t>
            </w:r>
            <w:r w:rsidR="00C814A2">
              <w:rPr>
                <w:rFonts w:ascii="Arial" w:hAnsi="Arial" w:cs="Arial"/>
                <w:sz w:val="20"/>
                <w:szCs w:val="20"/>
                <w:lang w:val="en-GB"/>
              </w:rPr>
              <w:t>without</w:t>
            </w:r>
            <w:r w:rsidR="001D4831" w:rsidRPr="001D4831">
              <w:rPr>
                <w:rFonts w:ascii="Arial" w:hAnsi="Arial" w:cs="Arial"/>
                <w:sz w:val="20"/>
                <w:szCs w:val="20"/>
                <w:lang w:val="en-GB"/>
              </w:rPr>
              <w:t xml:space="preserve"> prior judicial authorization or subsequent legality control</w:t>
            </w:r>
            <w:r w:rsidR="00C814A2">
              <w:rPr>
                <w:rFonts w:ascii="Arial" w:hAnsi="Arial" w:cs="Arial"/>
                <w:sz w:val="20"/>
                <w:szCs w:val="20"/>
                <w:lang w:val="en-GB"/>
              </w:rPr>
              <w:t xml:space="preserve">. </w:t>
            </w:r>
          </w:p>
        </w:tc>
      </w:tr>
    </w:tbl>
    <w:p w14:paraId="08CD8CEE" w14:textId="77777777" w:rsidR="007B7C69" w:rsidRPr="00C3537E" w:rsidRDefault="007B7C69">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70"/>
        <w:gridCol w:w="5666"/>
      </w:tblGrid>
      <w:tr w:rsidR="007B7C69" w:rsidRPr="00C3537E" w14:paraId="4604ECBB" w14:textId="77777777" w:rsidTr="00F87CF4">
        <w:tc>
          <w:tcPr>
            <w:tcW w:w="9262" w:type="dxa"/>
            <w:gridSpan w:val="2"/>
            <w:shd w:val="clear" w:color="auto" w:fill="61243B"/>
          </w:tcPr>
          <w:p w14:paraId="50A43152"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t>Procedural rights of businesses / individuals</w:t>
            </w:r>
          </w:p>
        </w:tc>
      </w:tr>
      <w:tr w:rsidR="007B7C69" w:rsidRPr="00C3537E" w14:paraId="351ED001" w14:textId="77777777" w:rsidTr="00F87CF4">
        <w:tblPrEx>
          <w:shd w:val="clear" w:color="auto" w:fill="auto"/>
        </w:tblPrEx>
        <w:tc>
          <w:tcPr>
            <w:tcW w:w="3432" w:type="dxa"/>
            <w:tcBorders>
              <w:left w:val="nil"/>
            </w:tcBorders>
            <w:shd w:val="clear" w:color="auto" w:fill="F3DFC3"/>
          </w:tcPr>
          <w:p w14:paraId="45FAA8E3" w14:textId="77777777" w:rsidR="007B7C69" w:rsidRPr="00C3537E" w:rsidRDefault="007B7C69" w:rsidP="007B7C69">
            <w:pPr>
              <w:numPr>
                <w:ilvl w:val="0"/>
                <w:numId w:val="23"/>
              </w:numPr>
              <w:spacing w:before="120" w:after="120"/>
              <w:rPr>
                <w:rFonts w:ascii="Arial" w:hAnsi="Arial" w:cs="Arial"/>
                <w:b/>
                <w:bCs/>
                <w:sz w:val="20"/>
                <w:lang w:val="en-GB"/>
              </w:rPr>
            </w:pPr>
            <w:r w:rsidRPr="00C3537E">
              <w:rPr>
                <w:rFonts w:ascii="Arial" w:hAnsi="Arial" w:cs="Arial"/>
                <w:b/>
                <w:bCs/>
                <w:sz w:val="20"/>
                <w:lang w:val="en-GB"/>
              </w:rPr>
              <w:t xml:space="preserve">Key rights of defence in cartel cases: [e.g.: right of access to documents in the possession of the enforcing authority, right to a written </w:t>
            </w:r>
            <w:r w:rsidRPr="00C3537E">
              <w:rPr>
                <w:rFonts w:ascii="Arial" w:hAnsi="Arial" w:cs="Arial"/>
                <w:b/>
                <w:bCs/>
                <w:sz w:val="20"/>
                <w:lang w:val="en-GB"/>
              </w:rPr>
              <w:lastRenderedPageBreak/>
              <w:t>statement of the case against the defendant, right to respond to that case in writing, right to respond orally, right to confront companies or individuals that make allegations against the defendant, right to legal representation before the enforcing authorities, right not to self-incriminate, etc.</w:t>
            </w:r>
            <w:r w:rsidR="00F57C62" w:rsidRPr="00C3537E">
              <w:rPr>
                <w:rFonts w:ascii="Arial" w:hAnsi="Arial" w:cs="Arial"/>
                <w:b/>
                <w:bCs/>
                <w:sz w:val="20"/>
                <w:lang w:val="en-GB"/>
              </w:rPr>
              <w:t>]</w:t>
            </w:r>
            <w:r w:rsidRPr="00C3537E">
              <w:rPr>
                <w:rFonts w:ascii="Arial" w:hAnsi="Arial" w:cs="Arial"/>
                <w:b/>
                <w:bCs/>
                <w:sz w:val="20"/>
                <w:lang w:val="en-GB"/>
              </w:rPr>
              <w:t>Please indicate the relevant legal provisions.</w:t>
            </w:r>
          </w:p>
        </w:tc>
        <w:tc>
          <w:tcPr>
            <w:tcW w:w="5830" w:type="dxa"/>
            <w:tcBorders>
              <w:right w:val="nil"/>
            </w:tcBorders>
          </w:tcPr>
          <w:p w14:paraId="3C2DD5F8" w14:textId="77777777" w:rsidR="009A1455" w:rsidRPr="006B73AA" w:rsidRDefault="009A1455" w:rsidP="009A1455">
            <w:pPr>
              <w:jc w:val="both"/>
              <w:rPr>
                <w:rFonts w:ascii="Arial" w:hAnsi="Arial" w:cs="Arial"/>
                <w:sz w:val="20"/>
                <w:szCs w:val="20"/>
                <w:lang w:val="en-GB"/>
              </w:rPr>
            </w:pPr>
            <w:r w:rsidRPr="006B73AA">
              <w:rPr>
                <w:rFonts w:ascii="Arial" w:hAnsi="Arial" w:cs="Arial"/>
                <w:sz w:val="20"/>
                <w:szCs w:val="20"/>
                <w:lang w:val="en-GB"/>
              </w:rPr>
              <w:lastRenderedPageBreak/>
              <w:t xml:space="preserve">The Colombian regime has a relevant rights of defence in cartel cases: </w:t>
            </w:r>
          </w:p>
          <w:p w14:paraId="45766C33" w14:textId="77777777" w:rsidR="009A1455" w:rsidRPr="006B73AA" w:rsidRDefault="009A1455" w:rsidP="009A1455">
            <w:pPr>
              <w:pStyle w:val="Ttulo3"/>
              <w:tabs>
                <w:tab w:val="clear" w:pos="1800"/>
              </w:tabs>
              <w:spacing w:after="0"/>
              <w:ind w:left="236" w:hanging="236"/>
              <w:jc w:val="both"/>
              <w:rPr>
                <w:rFonts w:ascii="Arial" w:hAnsi="Arial" w:cs="Arial"/>
                <w:sz w:val="20"/>
              </w:rPr>
            </w:pPr>
            <w:r w:rsidRPr="006B73AA">
              <w:rPr>
                <w:rFonts w:ascii="Arial" w:hAnsi="Arial" w:cs="Arial"/>
                <w:sz w:val="20"/>
              </w:rPr>
              <w:t xml:space="preserve">Right to provide evidence or request from the enforcing Authority. </w:t>
            </w:r>
          </w:p>
          <w:p w14:paraId="6B21C9F3" w14:textId="77777777" w:rsidR="009A1455" w:rsidRPr="006B73AA" w:rsidRDefault="009A1455" w:rsidP="009A1455">
            <w:pPr>
              <w:pStyle w:val="Ttulo3"/>
              <w:tabs>
                <w:tab w:val="clear" w:pos="1800"/>
              </w:tabs>
              <w:spacing w:after="0"/>
              <w:ind w:left="236" w:hanging="236"/>
              <w:jc w:val="both"/>
              <w:rPr>
                <w:rFonts w:ascii="Arial" w:hAnsi="Arial" w:cs="Arial"/>
                <w:sz w:val="20"/>
              </w:rPr>
            </w:pPr>
            <w:r w:rsidRPr="006B73AA">
              <w:rPr>
                <w:rFonts w:ascii="Arial" w:hAnsi="Arial" w:cs="Arial"/>
                <w:bCs/>
                <w:sz w:val="20"/>
              </w:rPr>
              <w:t xml:space="preserve">Right to challenge administrative acts containing a final decision. </w:t>
            </w:r>
          </w:p>
          <w:p w14:paraId="0A4D5EED" w14:textId="77777777" w:rsidR="009A1455" w:rsidRPr="006B73AA" w:rsidRDefault="009A1455" w:rsidP="009A1455">
            <w:pPr>
              <w:pStyle w:val="Ttulo3"/>
              <w:tabs>
                <w:tab w:val="clear" w:pos="1800"/>
              </w:tabs>
              <w:spacing w:after="0"/>
              <w:ind w:left="236" w:hanging="236"/>
              <w:jc w:val="both"/>
              <w:rPr>
                <w:rFonts w:ascii="Arial" w:hAnsi="Arial" w:cs="Arial"/>
                <w:sz w:val="20"/>
              </w:rPr>
            </w:pPr>
            <w:r w:rsidRPr="006B73AA">
              <w:rPr>
                <w:rFonts w:ascii="Arial" w:hAnsi="Arial" w:cs="Arial"/>
                <w:bCs/>
                <w:sz w:val="20"/>
                <w:lang w:val="en-GB"/>
              </w:rPr>
              <w:lastRenderedPageBreak/>
              <w:t xml:space="preserve">Right </w:t>
            </w:r>
            <w:r>
              <w:rPr>
                <w:rFonts w:ascii="Arial" w:hAnsi="Arial" w:cs="Arial"/>
                <w:bCs/>
                <w:sz w:val="20"/>
                <w:lang w:val="en-GB"/>
              </w:rPr>
              <w:t>to</w:t>
            </w:r>
            <w:r w:rsidRPr="006B73AA">
              <w:rPr>
                <w:rFonts w:ascii="Arial" w:hAnsi="Arial" w:cs="Arial"/>
                <w:bCs/>
                <w:sz w:val="20"/>
                <w:lang w:val="en-GB"/>
              </w:rPr>
              <w:t xml:space="preserve"> access documents in the possession of the enforcing authority, apart from the confidential ones.</w:t>
            </w:r>
          </w:p>
          <w:p w14:paraId="553F5016" w14:textId="77777777" w:rsidR="009A1455" w:rsidRPr="006B73AA" w:rsidRDefault="009A1455" w:rsidP="009A1455">
            <w:pPr>
              <w:pStyle w:val="Ttulo3"/>
              <w:tabs>
                <w:tab w:val="clear" w:pos="1800"/>
              </w:tabs>
              <w:spacing w:after="0"/>
              <w:ind w:left="236" w:hanging="236"/>
              <w:jc w:val="both"/>
              <w:rPr>
                <w:rFonts w:ascii="Arial" w:hAnsi="Arial" w:cs="Arial"/>
                <w:sz w:val="20"/>
              </w:rPr>
            </w:pPr>
            <w:r w:rsidRPr="006B73AA">
              <w:rPr>
                <w:rFonts w:ascii="Arial" w:hAnsi="Arial" w:cs="Arial"/>
                <w:bCs/>
                <w:sz w:val="20"/>
                <w:lang w:val="en-GB"/>
              </w:rPr>
              <w:t>Right to know the written recommendation report issued by the Deputy Superintendent for the Protection of Competition against the offender.</w:t>
            </w:r>
          </w:p>
          <w:p w14:paraId="78F0395A" w14:textId="77777777" w:rsidR="009A1455" w:rsidRPr="006B73AA" w:rsidRDefault="009A1455" w:rsidP="009A1455">
            <w:pPr>
              <w:pStyle w:val="Ttulo3"/>
              <w:tabs>
                <w:tab w:val="clear" w:pos="1800"/>
              </w:tabs>
              <w:spacing w:after="0"/>
              <w:ind w:left="236" w:hanging="236"/>
              <w:jc w:val="both"/>
              <w:rPr>
                <w:rFonts w:ascii="Arial" w:hAnsi="Arial" w:cs="Arial"/>
                <w:sz w:val="20"/>
              </w:rPr>
            </w:pPr>
            <w:r w:rsidRPr="006B73AA">
              <w:rPr>
                <w:rFonts w:ascii="Arial" w:hAnsi="Arial" w:cs="Arial"/>
                <w:bCs/>
                <w:sz w:val="20"/>
                <w:lang w:val="en-GB"/>
              </w:rPr>
              <w:t xml:space="preserve">Right to legal representation before the enforcing authorities. </w:t>
            </w:r>
          </w:p>
          <w:p w14:paraId="32D517F9" w14:textId="77777777" w:rsidR="009A1455" w:rsidRPr="006B73AA" w:rsidRDefault="009A1455" w:rsidP="009A1455">
            <w:pPr>
              <w:pStyle w:val="Ttulo3"/>
              <w:tabs>
                <w:tab w:val="clear" w:pos="1800"/>
              </w:tabs>
              <w:spacing w:after="0"/>
              <w:ind w:left="236" w:hanging="236"/>
              <w:jc w:val="both"/>
              <w:rPr>
                <w:rFonts w:ascii="Arial" w:hAnsi="Arial" w:cs="Arial"/>
                <w:bCs/>
                <w:sz w:val="20"/>
                <w:lang w:val="en-GB"/>
              </w:rPr>
            </w:pPr>
            <w:r w:rsidRPr="006B73AA">
              <w:rPr>
                <w:rFonts w:ascii="Arial" w:hAnsi="Arial" w:cs="Arial"/>
                <w:sz w:val="20"/>
              </w:rPr>
              <w:t>R</w:t>
            </w:r>
            <w:r w:rsidRPr="006B73AA">
              <w:rPr>
                <w:rFonts w:ascii="Arial" w:hAnsi="Arial" w:cs="Arial"/>
                <w:bCs/>
                <w:sz w:val="20"/>
                <w:lang w:val="en-GB"/>
              </w:rPr>
              <w:t xml:space="preserve">ight </w:t>
            </w:r>
            <w:r>
              <w:rPr>
                <w:rFonts w:ascii="Arial" w:hAnsi="Arial" w:cs="Arial"/>
                <w:bCs/>
                <w:sz w:val="20"/>
                <w:lang w:val="en-GB"/>
              </w:rPr>
              <w:t xml:space="preserve">to not </w:t>
            </w:r>
            <w:r w:rsidRPr="006B73AA">
              <w:rPr>
                <w:rFonts w:ascii="Arial" w:hAnsi="Arial" w:cs="Arial"/>
                <w:bCs/>
                <w:sz w:val="20"/>
                <w:lang w:val="en-GB"/>
              </w:rPr>
              <w:t>self-incriminate.</w:t>
            </w:r>
          </w:p>
          <w:p w14:paraId="3405830D" w14:textId="77777777" w:rsidR="005362FE" w:rsidRDefault="009A1455" w:rsidP="005362FE">
            <w:pPr>
              <w:pStyle w:val="Ttulo3"/>
              <w:tabs>
                <w:tab w:val="clear" w:pos="1800"/>
              </w:tabs>
              <w:spacing w:after="0"/>
              <w:ind w:left="236" w:hanging="236"/>
              <w:jc w:val="both"/>
              <w:rPr>
                <w:rFonts w:ascii="Arial" w:hAnsi="Arial" w:cs="Arial"/>
                <w:bCs/>
                <w:sz w:val="20"/>
                <w:lang w:val="en-GB"/>
              </w:rPr>
            </w:pPr>
            <w:r w:rsidRPr="006B73AA">
              <w:rPr>
                <w:rFonts w:ascii="Arial" w:hAnsi="Arial" w:cs="Arial"/>
                <w:bCs/>
                <w:sz w:val="20"/>
                <w:lang w:val="en-GB"/>
              </w:rPr>
              <w:t>Right to present be notify by the enforcement authority.</w:t>
            </w:r>
          </w:p>
          <w:p w14:paraId="52814A29" w14:textId="77777777" w:rsidR="005362FE" w:rsidRDefault="009A1455" w:rsidP="005362FE">
            <w:pPr>
              <w:pStyle w:val="Ttulo3"/>
              <w:tabs>
                <w:tab w:val="clear" w:pos="1800"/>
              </w:tabs>
              <w:spacing w:after="0"/>
              <w:ind w:left="236" w:hanging="236"/>
              <w:jc w:val="both"/>
              <w:rPr>
                <w:rFonts w:ascii="Arial" w:hAnsi="Arial" w:cs="Arial"/>
                <w:bCs/>
                <w:sz w:val="20"/>
                <w:lang w:val="en-GB"/>
              </w:rPr>
            </w:pPr>
            <w:r w:rsidRPr="005362FE">
              <w:rPr>
                <w:rFonts w:ascii="Arial" w:hAnsi="Arial" w:cs="Arial"/>
                <w:bCs/>
                <w:sz w:val="20"/>
                <w:lang w:val="en-GB"/>
              </w:rPr>
              <w:t>Right to be heard by the enforcing authority regarding the oppositions to the charge imposed.</w:t>
            </w:r>
          </w:p>
          <w:p w14:paraId="4506E8D3" w14:textId="77777777" w:rsidR="007B7C69" w:rsidRPr="005362FE" w:rsidRDefault="005362FE" w:rsidP="005362FE">
            <w:pPr>
              <w:pStyle w:val="Ttulo3"/>
              <w:tabs>
                <w:tab w:val="clear" w:pos="1800"/>
              </w:tabs>
              <w:spacing w:after="0"/>
              <w:ind w:left="236" w:hanging="236"/>
              <w:jc w:val="both"/>
              <w:rPr>
                <w:rFonts w:ascii="Arial" w:hAnsi="Arial" w:cs="Arial"/>
                <w:bCs/>
                <w:sz w:val="20"/>
                <w:lang w:val="en-GB"/>
              </w:rPr>
            </w:pPr>
            <w:r>
              <w:rPr>
                <w:rFonts w:ascii="Arial" w:hAnsi="Arial" w:cs="Arial"/>
                <w:bCs/>
                <w:sz w:val="20"/>
                <w:lang w:val="en-GB"/>
              </w:rPr>
              <w:t xml:space="preserve">Right to be protected in their privacy and intimacy. </w:t>
            </w:r>
          </w:p>
        </w:tc>
      </w:tr>
      <w:tr w:rsidR="007B7C69" w:rsidRPr="00C3537E" w14:paraId="20B84809" w14:textId="77777777" w:rsidTr="00F87CF4">
        <w:tblPrEx>
          <w:shd w:val="clear" w:color="auto" w:fill="auto"/>
        </w:tblPrEx>
        <w:tc>
          <w:tcPr>
            <w:tcW w:w="3432" w:type="dxa"/>
            <w:tcBorders>
              <w:left w:val="nil"/>
            </w:tcBorders>
            <w:shd w:val="clear" w:color="auto" w:fill="F3DFC3"/>
          </w:tcPr>
          <w:p w14:paraId="7A1E78AC" w14:textId="77777777" w:rsidR="007B7C69" w:rsidRPr="00C3537E" w:rsidRDefault="007B7C69" w:rsidP="007B7C69">
            <w:pPr>
              <w:numPr>
                <w:ilvl w:val="0"/>
                <w:numId w:val="23"/>
              </w:numPr>
              <w:spacing w:before="120" w:after="120"/>
              <w:rPr>
                <w:rFonts w:ascii="Arial" w:hAnsi="Arial" w:cs="Arial"/>
                <w:b/>
                <w:bCs/>
                <w:sz w:val="20"/>
                <w:lang w:val="en-GB"/>
              </w:rPr>
            </w:pPr>
            <w:r w:rsidRPr="00C3537E">
              <w:rPr>
                <w:rFonts w:ascii="Arial" w:hAnsi="Arial" w:cs="Arial"/>
                <w:b/>
                <w:bCs/>
                <w:sz w:val="20"/>
                <w:lang w:val="en-GB"/>
              </w:rPr>
              <w:lastRenderedPageBreak/>
              <w:t>Protection awarded to business secrets (competitively sensitive information): is there a difference depending on whether the information is provided under a compulsory legal order or provided under informal co-operation? Please indicate the relevant legal provisions.</w:t>
            </w:r>
          </w:p>
        </w:tc>
        <w:tc>
          <w:tcPr>
            <w:tcW w:w="5830" w:type="dxa"/>
            <w:tcBorders>
              <w:right w:val="nil"/>
            </w:tcBorders>
          </w:tcPr>
          <w:p w14:paraId="7E08552B" w14:textId="77777777" w:rsidR="007B7C69" w:rsidRPr="00C3537E" w:rsidRDefault="009A1455" w:rsidP="009A1455">
            <w:pPr>
              <w:spacing w:before="120"/>
              <w:jc w:val="both"/>
              <w:rPr>
                <w:rFonts w:ascii="Arial" w:hAnsi="Arial" w:cs="Arial"/>
                <w:sz w:val="20"/>
                <w:lang w:val="en-GB"/>
              </w:rPr>
            </w:pPr>
            <w:r>
              <w:rPr>
                <w:rFonts w:ascii="Arial" w:hAnsi="Arial" w:cs="Arial"/>
                <w:sz w:val="20"/>
                <w:szCs w:val="20"/>
                <w:lang w:val="en-GB"/>
              </w:rPr>
              <w:t xml:space="preserve">Article 15 of Law 1340 of 2009 does not make a difference regarding whether the protection granted is provided </w:t>
            </w:r>
            <w:r w:rsidRPr="000751AA">
              <w:rPr>
                <w:rFonts w:ascii="Arial" w:hAnsi="Arial" w:cs="Arial"/>
                <w:bCs/>
                <w:sz w:val="20"/>
                <w:szCs w:val="20"/>
                <w:lang w:val="en-GB"/>
              </w:rPr>
              <w:t>under a compulsory legal order or under informal co-operation</w:t>
            </w:r>
            <w:r>
              <w:rPr>
                <w:rFonts w:ascii="Arial" w:hAnsi="Arial" w:cs="Arial"/>
                <w:bCs/>
                <w:sz w:val="20"/>
                <w:szCs w:val="20"/>
                <w:lang w:val="en-GB"/>
              </w:rPr>
              <w:t>. This Article establishes that the party under investigation can request the Superintendence to award confidentiality to those documents that contain a business secrets or those on which a rule has giving it that status.</w:t>
            </w:r>
          </w:p>
        </w:tc>
      </w:tr>
    </w:tbl>
    <w:p w14:paraId="58B04D05" w14:textId="77777777" w:rsidR="007B7C69" w:rsidRPr="00C3537E" w:rsidRDefault="007B7C69">
      <w:pPr>
        <w:pStyle w:val="Textoindependiente"/>
        <w:spacing w:before="120" w:after="120"/>
        <w:rPr>
          <w:rFonts w:ascii="Arial" w:hAnsi="Arial" w:cs="Arial"/>
          <w:lang w:val="en-GB"/>
        </w:rPr>
      </w:pPr>
    </w:p>
    <w:p w14:paraId="7E87AB27" w14:textId="77777777" w:rsidR="007B7C69" w:rsidRPr="00C3537E" w:rsidRDefault="007B7C69">
      <w:pPr>
        <w:pStyle w:val="Textoindependiente"/>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80"/>
        <w:gridCol w:w="5656"/>
      </w:tblGrid>
      <w:tr w:rsidR="007B7C69" w:rsidRPr="00C3537E" w14:paraId="54D5FD1A" w14:textId="77777777" w:rsidTr="00F87CF4">
        <w:tc>
          <w:tcPr>
            <w:tcW w:w="9262" w:type="dxa"/>
            <w:gridSpan w:val="2"/>
            <w:shd w:val="clear" w:color="auto" w:fill="61243B"/>
          </w:tcPr>
          <w:p w14:paraId="35BDFE6A"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t>Limitation periods and deadlines</w:t>
            </w:r>
          </w:p>
        </w:tc>
      </w:tr>
      <w:tr w:rsidR="007B7C69" w:rsidRPr="00C3537E" w14:paraId="64ADE125" w14:textId="77777777" w:rsidTr="00F87CF4">
        <w:tblPrEx>
          <w:shd w:val="clear" w:color="auto" w:fill="auto"/>
        </w:tblPrEx>
        <w:tc>
          <w:tcPr>
            <w:tcW w:w="3436" w:type="dxa"/>
            <w:tcBorders>
              <w:left w:val="nil"/>
              <w:bottom w:val="single" w:sz="4" w:space="0" w:color="auto"/>
            </w:tcBorders>
            <w:shd w:val="clear" w:color="auto" w:fill="F3DFC3"/>
          </w:tcPr>
          <w:p w14:paraId="305BAB0F" w14:textId="77777777" w:rsidR="007B7C69" w:rsidRPr="00C3537E" w:rsidRDefault="007B7C69" w:rsidP="007B7C69">
            <w:pPr>
              <w:numPr>
                <w:ilvl w:val="0"/>
                <w:numId w:val="18"/>
              </w:numPr>
              <w:spacing w:before="120" w:after="120"/>
              <w:rPr>
                <w:rFonts w:ascii="Arial" w:hAnsi="Arial" w:cs="Arial"/>
                <w:b/>
                <w:bCs/>
                <w:sz w:val="20"/>
                <w:lang w:val="en-GB"/>
              </w:rPr>
            </w:pPr>
            <w:r w:rsidRPr="00C3537E">
              <w:rPr>
                <w:rFonts w:ascii="Arial" w:hAnsi="Arial" w:cs="Arial"/>
                <w:b/>
                <w:bCs/>
                <w:sz w:val="20"/>
                <w:lang w:val="en-GB"/>
              </w:rPr>
              <w:t xml:space="preserve">What is the limitation period (if any) from the date of the termination of the infringement by which the investigation / proceedings must begin or a decision </w:t>
            </w:r>
            <w:r w:rsidR="00370BB0" w:rsidRPr="00C3537E">
              <w:rPr>
                <w:rFonts w:ascii="Arial" w:hAnsi="Arial" w:cs="Arial"/>
                <w:b/>
                <w:bCs/>
                <w:sz w:val="20"/>
                <w:lang w:val="en-GB"/>
              </w:rPr>
              <w:t>o</w:t>
            </w:r>
            <w:r w:rsidRPr="00C3537E">
              <w:rPr>
                <w:rFonts w:ascii="Arial" w:hAnsi="Arial" w:cs="Arial"/>
                <w:b/>
                <w:bCs/>
                <w:sz w:val="20"/>
                <w:lang w:val="en-GB"/>
              </w:rPr>
              <w:t>n the merits of the case must be made?</w:t>
            </w:r>
            <w:r w:rsidR="00A922D7" w:rsidRPr="009A1455">
              <w:rPr>
                <w:rFonts w:ascii="Arial" w:hAnsi="Arial" w:cs="Arial"/>
                <w:b/>
                <w:bCs/>
                <w:sz w:val="20"/>
                <w:lang w:val="en-GB"/>
              </w:rPr>
              <w:t xml:space="preserve"> Please describe potential suspension or interruption opportunities of this limitation period and the requirements for such rules to apply</w:t>
            </w:r>
            <w:r w:rsidR="009A1455">
              <w:rPr>
                <w:rFonts w:ascii="Arial" w:hAnsi="Arial" w:cs="Arial"/>
                <w:b/>
                <w:bCs/>
                <w:sz w:val="20"/>
                <w:lang w:val="en-GB"/>
              </w:rPr>
              <w:t>.</w:t>
            </w:r>
          </w:p>
        </w:tc>
        <w:tc>
          <w:tcPr>
            <w:tcW w:w="5826" w:type="dxa"/>
            <w:tcBorders>
              <w:right w:val="nil"/>
            </w:tcBorders>
          </w:tcPr>
          <w:p w14:paraId="47BE2568" w14:textId="77777777" w:rsidR="007B7C69" w:rsidRPr="00C3537E" w:rsidRDefault="009A1455" w:rsidP="009A1455">
            <w:pPr>
              <w:spacing w:before="120"/>
              <w:jc w:val="both"/>
              <w:rPr>
                <w:rFonts w:ascii="Arial" w:hAnsi="Arial" w:cs="Arial"/>
                <w:sz w:val="20"/>
                <w:lang w:val="en-GB"/>
              </w:rPr>
            </w:pPr>
            <w:r>
              <w:rPr>
                <w:rFonts w:ascii="Arial" w:hAnsi="Arial" w:cs="Arial"/>
                <w:sz w:val="20"/>
                <w:szCs w:val="20"/>
                <w:lang w:val="en-GB"/>
              </w:rPr>
              <w:t>5 years from the date of the termination of the infringement, according to Article 27 of Law 1340 of 2009. When the investigation is based in a</w:t>
            </w:r>
            <w:r w:rsidR="005362FE">
              <w:rPr>
                <w:rFonts w:ascii="Arial" w:hAnsi="Arial" w:cs="Arial"/>
                <w:sz w:val="20"/>
                <w:szCs w:val="20"/>
                <w:lang w:val="en-GB"/>
              </w:rPr>
              <w:t xml:space="preserve"> continued behavioural </w:t>
            </w:r>
            <w:r>
              <w:rPr>
                <w:rFonts w:ascii="Arial" w:hAnsi="Arial" w:cs="Arial"/>
                <w:sz w:val="20"/>
                <w:szCs w:val="20"/>
                <w:lang w:val="en-GB"/>
              </w:rPr>
              <w:t xml:space="preserve">the Superintendence of Industry and Commerce’s </w:t>
            </w:r>
            <w:r w:rsidRPr="007A0340">
              <w:rPr>
                <w:rFonts w:ascii="Arial" w:hAnsi="Arial" w:cs="Arial"/>
                <w:sz w:val="20"/>
                <w:szCs w:val="20"/>
                <w:lang w:val="en-GB"/>
              </w:rPr>
              <w:t>sanctioning power is counted from the moment of cessatio</w:t>
            </w:r>
            <w:r>
              <w:rPr>
                <w:rFonts w:ascii="Arial" w:hAnsi="Arial" w:cs="Arial"/>
                <w:sz w:val="20"/>
                <w:szCs w:val="20"/>
                <w:lang w:val="en-GB"/>
              </w:rPr>
              <w:t>n of the conduct being analysed.</w:t>
            </w:r>
          </w:p>
        </w:tc>
      </w:tr>
      <w:tr w:rsidR="007B7C69" w:rsidRPr="00C3537E" w14:paraId="53320820" w14:textId="77777777" w:rsidTr="00F87CF4">
        <w:tblPrEx>
          <w:shd w:val="clear" w:color="auto" w:fill="auto"/>
        </w:tblPrEx>
        <w:tc>
          <w:tcPr>
            <w:tcW w:w="3436" w:type="dxa"/>
            <w:tcBorders>
              <w:left w:val="nil"/>
            </w:tcBorders>
            <w:shd w:val="clear" w:color="auto" w:fill="F3DFC3"/>
          </w:tcPr>
          <w:p w14:paraId="7DA32486" w14:textId="77777777" w:rsidR="007B7C69" w:rsidRPr="00C3537E" w:rsidRDefault="007B7C69" w:rsidP="007B7C69">
            <w:pPr>
              <w:numPr>
                <w:ilvl w:val="0"/>
                <w:numId w:val="18"/>
              </w:numPr>
              <w:spacing w:before="120" w:after="120"/>
              <w:rPr>
                <w:rFonts w:ascii="Arial" w:hAnsi="Arial" w:cs="Arial"/>
                <w:b/>
                <w:bCs/>
                <w:sz w:val="20"/>
                <w:lang w:val="en-GB"/>
              </w:rPr>
            </w:pPr>
            <w:r w:rsidRPr="00C3537E">
              <w:rPr>
                <w:rFonts w:ascii="Arial" w:hAnsi="Arial" w:cs="Arial"/>
                <w:b/>
                <w:bCs/>
                <w:sz w:val="20"/>
                <w:lang w:val="en-GB"/>
              </w:rPr>
              <w:t xml:space="preserve">What is the deadline, statutory or otherwise (if any) for the completion of an </w:t>
            </w:r>
            <w:r w:rsidRPr="004C1048">
              <w:rPr>
                <w:rFonts w:ascii="Arial" w:hAnsi="Arial" w:cs="Arial"/>
                <w:b/>
                <w:bCs/>
                <w:sz w:val="20"/>
                <w:lang w:val="en-GB"/>
              </w:rPr>
              <w:t xml:space="preserve">investigation or to make a </w:t>
            </w:r>
            <w:r w:rsidRPr="004F39AF">
              <w:rPr>
                <w:rFonts w:ascii="Arial" w:hAnsi="Arial" w:cs="Arial"/>
                <w:b/>
                <w:bCs/>
                <w:color w:val="000000" w:themeColor="text1"/>
                <w:sz w:val="20"/>
                <w:lang w:val="en-GB"/>
              </w:rPr>
              <w:t xml:space="preserve">decision </w:t>
            </w:r>
            <w:r w:rsidR="00370BB0" w:rsidRPr="004F39AF">
              <w:rPr>
                <w:rFonts w:ascii="Arial" w:hAnsi="Arial" w:cs="Arial"/>
                <w:b/>
                <w:bCs/>
                <w:color w:val="000000" w:themeColor="text1"/>
                <w:sz w:val="20"/>
                <w:lang w:val="en-GB"/>
              </w:rPr>
              <w:t>o</w:t>
            </w:r>
            <w:r w:rsidRPr="004F39AF">
              <w:rPr>
                <w:rFonts w:ascii="Arial" w:hAnsi="Arial" w:cs="Arial"/>
                <w:b/>
                <w:bCs/>
                <w:color w:val="000000" w:themeColor="text1"/>
                <w:sz w:val="20"/>
                <w:lang w:val="en-GB"/>
              </w:rPr>
              <w:t>n the merits?</w:t>
            </w:r>
            <w:r w:rsidR="00A922D7" w:rsidRPr="004F39AF">
              <w:rPr>
                <w:rFonts w:ascii="Arial" w:hAnsi="Arial" w:cs="Arial"/>
                <w:b/>
                <w:bCs/>
                <w:color w:val="000000" w:themeColor="text1"/>
                <w:sz w:val="20"/>
                <w:lang w:val="en-GB"/>
              </w:rPr>
              <w:t xml:space="preserve"> Please describe potential suspension or interruption opportunities of this limitation period and the requirements for such rules to apply</w:t>
            </w:r>
            <w:r w:rsidR="004C1048" w:rsidRPr="004F39AF">
              <w:rPr>
                <w:rFonts w:ascii="Arial" w:hAnsi="Arial" w:cs="Arial"/>
                <w:b/>
                <w:bCs/>
                <w:color w:val="000000" w:themeColor="text1"/>
                <w:sz w:val="20"/>
                <w:lang w:val="en-GB"/>
              </w:rPr>
              <w:t>.</w:t>
            </w:r>
          </w:p>
        </w:tc>
        <w:tc>
          <w:tcPr>
            <w:tcW w:w="5826" w:type="dxa"/>
            <w:tcBorders>
              <w:right w:val="nil"/>
            </w:tcBorders>
          </w:tcPr>
          <w:p w14:paraId="76BD31F2" w14:textId="77777777" w:rsidR="007B7C69" w:rsidRPr="00C3537E" w:rsidRDefault="009A1455" w:rsidP="009A1455">
            <w:pPr>
              <w:spacing w:before="120"/>
              <w:jc w:val="both"/>
              <w:rPr>
                <w:rFonts w:ascii="Arial" w:hAnsi="Arial" w:cs="Arial"/>
                <w:sz w:val="20"/>
                <w:lang w:val="en-GB"/>
              </w:rPr>
            </w:pPr>
            <w:r>
              <w:rPr>
                <w:rFonts w:ascii="Arial" w:hAnsi="Arial" w:cs="Arial"/>
                <w:sz w:val="20"/>
                <w:szCs w:val="20"/>
                <w:lang w:val="en-GB"/>
              </w:rPr>
              <w:t xml:space="preserve">According to </w:t>
            </w:r>
            <w:r w:rsidRPr="00FF1AC4">
              <w:rPr>
                <w:rFonts w:ascii="Arial" w:hAnsi="Arial" w:cs="Arial"/>
                <w:sz w:val="20"/>
                <w:szCs w:val="20"/>
                <w:lang w:val="en-GB"/>
              </w:rPr>
              <w:t xml:space="preserve">Article 27 of Law 1340, an order imposing sanctions must be issued not later than </w:t>
            </w:r>
            <w:r>
              <w:rPr>
                <w:rFonts w:ascii="Arial" w:hAnsi="Arial" w:cs="Arial"/>
                <w:sz w:val="20"/>
                <w:szCs w:val="20"/>
                <w:lang w:val="en-GB"/>
              </w:rPr>
              <w:t>5</w:t>
            </w:r>
            <w:r w:rsidRPr="00FF1AC4">
              <w:rPr>
                <w:rFonts w:ascii="Arial" w:hAnsi="Arial" w:cs="Arial"/>
                <w:sz w:val="20"/>
                <w:szCs w:val="20"/>
                <w:lang w:val="en-GB"/>
              </w:rPr>
              <w:t xml:space="preserve"> years after the occurrence of the unlawful act (or the occurrence of the last in a series of unlawful acts).</w:t>
            </w:r>
          </w:p>
        </w:tc>
      </w:tr>
      <w:tr w:rsidR="007B7C69" w:rsidRPr="00C3537E" w14:paraId="79C1D2BE" w14:textId="77777777" w:rsidTr="00F87CF4">
        <w:tblPrEx>
          <w:shd w:val="clear" w:color="auto" w:fill="auto"/>
        </w:tblPrEx>
        <w:tc>
          <w:tcPr>
            <w:tcW w:w="3436" w:type="dxa"/>
            <w:tcBorders>
              <w:left w:val="nil"/>
            </w:tcBorders>
            <w:shd w:val="clear" w:color="auto" w:fill="F3DFC3"/>
          </w:tcPr>
          <w:p w14:paraId="416E8D2A" w14:textId="77777777" w:rsidR="007B7C69" w:rsidRPr="00C3537E" w:rsidRDefault="007B7C69" w:rsidP="007B7C69">
            <w:pPr>
              <w:numPr>
                <w:ilvl w:val="0"/>
                <w:numId w:val="18"/>
              </w:numPr>
              <w:spacing w:before="120" w:after="120"/>
              <w:rPr>
                <w:rFonts w:ascii="Arial" w:hAnsi="Arial" w:cs="Arial"/>
                <w:b/>
                <w:bCs/>
                <w:sz w:val="20"/>
                <w:lang w:val="en-GB"/>
              </w:rPr>
            </w:pPr>
            <w:r w:rsidRPr="00C3537E">
              <w:rPr>
                <w:rFonts w:ascii="Arial" w:hAnsi="Arial" w:cs="Arial"/>
                <w:b/>
                <w:bCs/>
                <w:sz w:val="20"/>
                <w:lang w:val="en-GB"/>
              </w:rPr>
              <w:lastRenderedPageBreak/>
              <w:t>What are the deadlines, statutory or otherwise (if any) to challenge the commencement or completion of an investigation or a decision regarding sanctions?</w:t>
            </w:r>
            <w:r w:rsidR="007C2D21" w:rsidRPr="00C3537E">
              <w:rPr>
                <w:rFonts w:ascii="Arial" w:hAnsi="Arial" w:cs="Arial"/>
                <w:b/>
                <w:bCs/>
                <w:sz w:val="20"/>
                <w:lang w:val="en-GB"/>
              </w:rPr>
              <w:t xml:space="preserve"> (see also 15A)</w:t>
            </w:r>
          </w:p>
        </w:tc>
        <w:tc>
          <w:tcPr>
            <w:tcW w:w="5826" w:type="dxa"/>
            <w:tcBorders>
              <w:right w:val="nil"/>
            </w:tcBorders>
          </w:tcPr>
          <w:p w14:paraId="492A606B" w14:textId="77777777" w:rsidR="007B7C69" w:rsidRPr="00C3537E" w:rsidRDefault="00EF1F2C" w:rsidP="0014740D">
            <w:pPr>
              <w:spacing w:before="120"/>
              <w:jc w:val="both"/>
              <w:rPr>
                <w:rFonts w:ascii="Arial" w:hAnsi="Arial" w:cs="Arial"/>
                <w:lang w:val="en-GB"/>
              </w:rPr>
            </w:pPr>
            <w:r w:rsidRPr="00E56EF0">
              <w:rPr>
                <w:rFonts w:ascii="Arial" w:hAnsi="Arial" w:cs="Arial"/>
                <w:sz w:val="20"/>
                <w:szCs w:val="20"/>
                <w:lang w:val="en-GB"/>
              </w:rPr>
              <w:t>According to Article 76 of the New Code of Administrative Procedure</w:t>
            </w:r>
            <w:r>
              <w:rPr>
                <w:rFonts w:ascii="Arial" w:hAnsi="Arial" w:cs="Arial"/>
                <w:sz w:val="20"/>
                <w:szCs w:val="20"/>
                <w:lang w:val="en-GB"/>
              </w:rPr>
              <w:t>,</w:t>
            </w:r>
            <w:r w:rsidRPr="00E56EF0">
              <w:rPr>
                <w:rFonts w:ascii="Arial" w:hAnsi="Arial" w:cs="Arial"/>
                <w:bCs/>
                <w:sz w:val="20"/>
                <w:szCs w:val="20"/>
                <w:lang w:val="en-GB"/>
              </w:rPr>
              <w:t>the offender party will have 10 days since the date of notification</w:t>
            </w:r>
            <w:r w:rsidRPr="00E56EF0">
              <w:rPr>
                <w:rFonts w:ascii="Arial" w:hAnsi="Arial" w:cs="Arial"/>
                <w:sz w:val="20"/>
                <w:szCs w:val="20"/>
                <w:lang w:val="en-GB"/>
              </w:rPr>
              <w:t xml:space="preserve"> to challenge the </w:t>
            </w:r>
            <w:r w:rsidRPr="00E56EF0">
              <w:rPr>
                <w:rFonts w:ascii="Arial" w:hAnsi="Arial" w:cs="Arial"/>
                <w:bCs/>
                <w:sz w:val="20"/>
                <w:szCs w:val="20"/>
                <w:lang w:val="en-GB"/>
              </w:rPr>
              <w:t>commencement or completion of an investigation or a decision regarding sanctions.</w:t>
            </w:r>
          </w:p>
        </w:tc>
      </w:tr>
    </w:tbl>
    <w:p w14:paraId="1BBEB61E" w14:textId="77777777" w:rsidR="007B7C69" w:rsidRPr="00C3537E" w:rsidRDefault="007B7C69">
      <w:pPr>
        <w:pStyle w:val="Textoindependiente"/>
        <w:ind w:left="0"/>
        <w:rPr>
          <w:rFonts w:ascii="Arial" w:hAnsi="Arial" w:cs="Arial"/>
          <w:lang w:val="en-GB"/>
        </w:rPr>
      </w:pPr>
    </w:p>
    <w:p w14:paraId="7E5D505F" w14:textId="77777777" w:rsidR="007B7C69" w:rsidRPr="00C3537E" w:rsidRDefault="007B7C69">
      <w:pPr>
        <w:pStyle w:val="Textoindependiente"/>
        <w:ind w:left="0"/>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65"/>
        <w:gridCol w:w="5671"/>
      </w:tblGrid>
      <w:tr w:rsidR="007B7C69" w:rsidRPr="00C3537E" w14:paraId="490F8866" w14:textId="77777777" w:rsidTr="00F87CF4">
        <w:tc>
          <w:tcPr>
            <w:tcW w:w="9262" w:type="dxa"/>
            <w:gridSpan w:val="2"/>
            <w:shd w:val="clear" w:color="auto" w:fill="61243B"/>
          </w:tcPr>
          <w:p w14:paraId="5CE1448C" w14:textId="77777777" w:rsidR="007B7C69" w:rsidRPr="00C3537E" w:rsidRDefault="007B7C69">
            <w:pPr>
              <w:pStyle w:val="Ttulo1"/>
              <w:spacing w:before="120" w:after="120"/>
              <w:rPr>
                <w:rFonts w:ascii="Arial" w:hAnsi="Arial" w:cs="Arial"/>
                <w:color w:val="FFFFFF"/>
                <w:sz w:val="28"/>
                <w:lang w:val="en-GB"/>
              </w:rPr>
            </w:pPr>
            <w:r w:rsidRPr="00C3537E">
              <w:rPr>
                <w:rFonts w:ascii="Arial" w:hAnsi="Arial" w:cs="Arial"/>
                <w:color w:val="FFFFFF"/>
                <w:sz w:val="28"/>
                <w:lang w:val="en-GB"/>
              </w:rPr>
              <w:t>Types of decisions</w:t>
            </w:r>
          </w:p>
        </w:tc>
      </w:tr>
      <w:tr w:rsidR="007B7C69" w:rsidRPr="00C3537E" w14:paraId="1BA78B34" w14:textId="77777777" w:rsidTr="00F87CF4">
        <w:tblPrEx>
          <w:shd w:val="clear" w:color="auto" w:fill="auto"/>
        </w:tblPrEx>
        <w:tc>
          <w:tcPr>
            <w:tcW w:w="3428" w:type="dxa"/>
            <w:tcBorders>
              <w:left w:val="nil"/>
            </w:tcBorders>
            <w:shd w:val="clear" w:color="auto" w:fill="F3DFC3"/>
          </w:tcPr>
          <w:p w14:paraId="73F08D37" w14:textId="77777777" w:rsidR="007B7C69" w:rsidRPr="00C3537E" w:rsidRDefault="00F57C62" w:rsidP="007B7C69">
            <w:pPr>
              <w:numPr>
                <w:ilvl w:val="0"/>
                <w:numId w:val="24"/>
              </w:numPr>
              <w:spacing w:before="120" w:after="120"/>
              <w:rPr>
                <w:rFonts w:ascii="Arial" w:hAnsi="Arial" w:cs="Arial"/>
                <w:b/>
                <w:bCs/>
                <w:sz w:val="20"/>
                <w:lang w:val="en-GB"/>
              </w:rPr>
            </w:pPr>
            <w:r w:rsidRPr="00C3537E">
              <w:rPr>
                <w:rFonts w:ascii="Arial" w:hAnsi="Arial" w:cs="Arial"/>
                <w:b/>
                <w:bCs/>
                <w:sz w:val="20"/>
                <w:lang w:val="en-GB"/>
              </w:rPr>
              <w:t>L</w:t>
            </w:r>
            <w:r w:rsidR="007B7C69" w:rsidRPr="00C3537E">
              <w:rPr>
                <w:rFonts w:ascii="Arial" w:hAnsi="Arial" w:cs="Arial"/>
                <w:b/>
                <w:bCs/>
                <w:sz w:val="20"/>
                <w:lang w:val="en-GB"/>
              </w:rPr>
              <w:t>ist which types of decisions on the merits of the case can be made in cartel cases under the laws listed under Section 1. [E.g.: finding of an infringement, ordering to bring the infringement to an end, imposition of fines, etc.]</w:t>
            </w:r>
          </w:p>
        </w:tc>
        <w:tc>
          <w:tcPr>
            <w:tcW w:w="5834" w:type="dxa"/>
            <w:tcBorders>
              <w:right w:val="nil"/>
            </w:tcBorders>
          </w:tcPr>
          <w:p w14:paraId="6E6660DA" w14:textId="77777777" w:rsidR="00EF1F2C" w:rsidRPr="00956E13" w:rsidRDefault="00EF1F2C" w:rsidP="00EF1F2C">
            <w:pPr>
              <w:spacing w:before="120"/>
              <w:jc w:val="both"/>
              <w:rPr>
                <w:rFonts w:ascii="Arial" w:hAnsi="Arial" w:cs="Arial"/>
                <w:sz w:val="20"/>
                <w:szCs w:val="20"/>
                <w:lang w:val="en-GB"/>
              </w:rPr>
            </w:pPr>
            <w:r w:rsidRPr="00956E13">
              <w:rPr>
                <w:rFonts w:ascii="Arial" w:hAnsi="Arial" w:cs="Arial"/>
                <w:sz w:val="20"/>
                <w:szCs w:val="20"/>
                <w:lang w:val="en-GB"/>
              </w:rPr>
              <w:t xml:space="preserve">The types of decisions in a cartel investigation are: </w:t>
            </w:r>
          </w:p>
          <w:p w14:paraId="689E7E5C" w14:textId="77777777" w:rsidR="00EF1F2C" w:rsidRPr="00956E13" w:rsidRDefault="00EF1F2C" w:rsidP="00EF1F2C">
            <w:pPr>
              <w:numPr>
                <w:ilvl w:val="4"/>
                <w:numId w:val="37"/>
              </w:numPr>
              <w:spacing w:before="120"/>
              <w:ind w:left="382"/>
              <w:jc w:val="both"/>
              <w:rPr>
                <w:rFonts w:ascii="Arial" w:hAnsi="Arial" w:cs="Arial"/>
                <w:sz w:val="20"/>
                <w:szCs w:val="20"/>
                <w:lang w:val="en-GB"/>
              </w:rPr>
            </w:pPr>
            <w:r w:rsidRPr="00956E13">
              <w:rPr>
                <w:rFonts w:ascii="Arial" w:hAnsi="Arial" w:cs="Arial"/>
                <w:bCs/>
                <w:sz w:val="20"/>
                <w:szCs w:val="20"/>
                <w:lang w:val="en-GB"/>
              </w:rPr>
              <w:t xml:space="preserve">Imposition of fines. </w:t>
            </w:r>
            <w:r>
              <w:rPr>
                <w:rFonts w:ascii="Arial" w:hAnsi="Arial" w:cs="Arial"/>
                <w:bCs/>
                <w:sz w:val="20"/>
                <w:szCs w:val="20"/>
                <w:lang w:val="en-GB"/>
              </w:rPr>
              <w:t xml:space="preserve">Sanction decisions also orders to end the infringement. </w:t>
            </w:r>
          </w:p>
          <w:p w14:paraId="2362704E" w14:textId="77777777" w:rsidR="00EF1F2C" w:rsidRDefault="00EF1F2C" w:rsidP="00EF1F2C">
            <w:pPr>
              <w:numPr>
                <w:ilvl w:val="4"/>
                <w:numId w:val="37"/>
              </w:numPr>
              <w:spacing w:before="120"/>
              <w:ind w:left="382"/>
              <w:jc w:val="both"/>
              <w:rPr>
                <w:rFonts w:ascii="Arial" w:hAnsi="Arial" w:cs="Arial"/>
                <w:sz w:val="20"/>
                <w:szCs w:val="20"/>
                <w:lang w:val="en-GB"/>
              </w:rPr>
            </w:pPr>
            <w:r>
              <w:rPr>
                <w:rFonts w:ascii="Arial" w:hAnsi="Arial" w:cs="Arial"/>
                <w:sz w:val="20"/>
                <w:szCs w:val="20"/>
                <w:lang w:val="en-GB"/>
              </w:rPr>
              <w:t>Closing</w:t>
            </w:r>
            <w:r w:rsidRPr="00956E13">
              <w:rPr>
                <w:rFonts w:ascii="Arial" w:hAnsi="Arial" w:cs="Arial"/>
                <w:sz w:val="20"/>
                <w:szCs w:val="20"/>
                <w:lang w:val="en-GB"/>
              </w:rPr>
              <w:t xml:space="preserve"> of the investigation.</w:t>
            </w:r>
            <w:r>
              <w:rPr>
                <w:rFonts w:ascii="Arial" w:hAnsi="Arial" w:cs="Arial"/>
                <w:sz w:val="20"/>
                <w:szCs w:val="20"/>
                <w:lang w:val="en-GB"/>
              </w:rPr>
              <w:t xml:space="preserve"> This option can be given, either because there is no evidence to prove the commission of the restrictive agreement, or because settlements have been accepted.   </w:t>
            </w:r>
          </w:p>
          <w:p w14:paraId="127B34DC" w14:textId="1A93133F" w:rsidR="007B7C69" w:rsidRPr="00C3537E" w:rsidRDefault="00EF1F2C" w:rsidP="00EF1F2C">
            <w:pPr>
              <w:spacing w:before="120"/>
              <w:jc w:val="both"/>
              <w:rPr>
                <w:rFonts w:ascii="Arial" w:hAnsi="Arial" w:cs="Arial"/>
                <w:highlight w:val="red"/>
                <w:lang w:val="en-GB"/>
              </w:rPr>
            </w:pPr>
            <w:r>
              <w:rPr>
                <w:rFonts w:ascii="Arial" w:hAnsi="Arial" w:cs="Arial"/>
                <w:sz w:val="20"/>
                <w:szCs w:val="20"/>
                <w:lang w:val="en-GB"/>
              </w:rPr>
              <w:t>Imposition of fines to some of the investigated parties</w:t>
            </w:r>
            <w:r w:rsidR="00D924C6">
              <w:rPr>
                <w:rFonts w:ascii="Arial" w:hAnsi="Arial" w:cs="Arial"/>
                <w:sz w:val="20"/>
                <w:szCs w:val="20"/>
                <w:lang w:val="en-GB"/>
              </w:rPr>
              <w:t xml:space="preserve">, </w:t>
            </w:r>
            <w:r>
              <w:rPr>
                <w:rFonts w:ascii="Arial" w:hAnsi="Arial" w:cs="Arial"/>
                <w:sz w:val="20"/>
                <w:szCs w:val="20"/>
                <w:lang w:val="en-GB"/>
              </w:rPr>
              <w:t>closing of the investigation in favour of some others (because there is no evidence to prove the commission of the restrictive agreement by them)</w:t>
            </w:r>
            <w:r w:rsidR="00D924C6">
              <w:rPr>
                <w:rFonts w:ascii="Arial" w:hAnsi="Arial" w:cs="Arial"/>
                <w:sz w:val="20"/>
                <w:szCs w:val="20"/>
                <w:lang w:val="en-GB"/>
              </w:rPr>
              <w:t>, and</w:t>
            </w:r>
            <w:r w:rsidR="00D924C6">
              <w:t xml:space="preserve"> </w:t>
            </w:r>
            <w:r w:rsidR="00D924C6" w:rsidRPr="00D924C6">
              <w:rPr>
                <w:rFonts w:ascii="Arial" w:hAnsi="Arial" w:cs="Arial"/>
                <w:sz w:val="20"/>
                <w:szCs w:val="20"/>
                <w:lang w:val="en-GB"/>
              </w:rPr>
              <w:t>by offering to the SIC satisfactory “guarantees”</w:t>
            </w:r>
            <w:r w:rsidR="00D924C6">
              <w:rPr>
                <w:rFonts w:ascii="Arial" w:hAnsi="Arial" w:cs="Arial"/>
                <w:sz w:val="20"/>
                <w:szCs w:val="20"/>
                <w:lang w:val="en-GB"/>
              </w:rPr>
              <w:t>.</w:t>
            </w:r>
            <w:r w:rsidR="00D924C6" w:rsidRPr="00D924C6">
              <w:rPr>
                <w:rFonts w:ascii="Arial" w:hAnsi="Arial" w:cs="Arial"/>
                <w:sz w:val="20"/>
                <w:szCs w:val="20"/>
                <w:lang w:val="en-GB"/>
              </w:rPr>
              <w:t xml:space="preserve"> </w:t>
            </w:r>
            <w:r w:rsidR="00D924C6">
              <w:rPr>
                <w:rFonts w:ascii="Arial" w:hAnsi="Arial" w:cs="Arial"/>
                <w:sz w:val="20"/>
                <w:szCs w:val="20"/>
                <w:lang w:val="en-GB"/>
              </w:rPr>
              <w:t xml:space="preserve"> </w:t>
            </w:r>
          </w:p>
        </w:tc>
      </w:tr>
      <w:tr w:rsidR="007B7C69" w:rsidRPr="00C3537E" w14:paraId="5B634E4E" w14:textId="77777777" w:rsidTr="00F87CF4">
        <w:tblPrEx>
          <w:shd w:val="clear" w:color="auto" w:fill="auto"/>
        </w:tblPrEx>
        <w:tc>
          <w:tcPr>
            <w:tcW w:w="3428" w:type="dxa"/>
            <w:tcBorders>
              <w:left w:val="nil"/>
            </w:tcBorders>
            <w:shd w:val="clear" w:color="auto" w:fill="F3DFC3"/>
          </w:tcPr>
          <w:p w14:paraId="059414F9" w14:textId="77777777" w:rsidR="007B7C69" w:rsidRPr="00C3537E" w:rsidRDefault="00F57C62" w:rsidP="008133AB">
            <w:pPr>
              <w:numPr>
                <w:ilvl w:val="0"/>
                <w:numId w:val="24"/>
              </w:numPr>
              <w:spacing w:before="120" w:after="120"/>
              <w:rPr>
                <w:rFonts w:ascii="Arial" w:hAnsi="Arial" w:cs="Arial"/>
                <w:b/>
                <w:bCs/>
                <w:sz w:val="20"/>
                <w:lang w:val="en-GB"/>
              </w:rPr>
            </w:pPr>
            <w:r w:rsidRPr="00C3537E">
              <w:rPr>
                <w:rFonts w:ascii="Arial" w:hAnsi="Arial" w:cs="Arial"/>
                <w:b/>
                <w:bCs/>
                <w:sz w:val="20"/>
                <w:lang w:val="en-GB"/>
              </w:rPr>
              <w:t>L</w:t>
            </w:r>
            <w:r w:rsidR="007B7C69" w:rsidRPr="00C3537E">
              <w:rPr>
                <w:rFonts w:ascii="Arial" w:hAnsi="Arial" w:cs="Arial"/>
                <w:b/>
                <w:bCs/>
                <w:sz w:val="20"/>
                <w:lang w:val="en-GB"/>
              </w:rPr>
              <w:t xml:space="preserve">ist </w:t>
            </w:r>
            <w:r w:rsidRPr="00C3537E">
              <w:rPr>
                <w:rFonts w:ascii="Arial" w:hAnsi="Arial" w:cs="Arial"/>
                <w:b/>
                <w:bCs/>
                <w:sz w:val="20"/>
                <w:lang w:val="en-GB"/>
              </w:rPr>
              <w:t xml:space="preserve">any other </w:t>
            </w:r>
            <w:r w:rsidR="007B7C69" w:rsidRPr="00C3537E">
              <w:rPr>
                <w:rFonts w:ascii="Arial" w:hAnsi="Arial" w:cs="Arial"/>
                <w:b/>
                <w:bCs/>
                <w:sz w:val="20"/>
                <w:lang w:val="en-GB"/>
              </w:rPr>
              <w:t xml:space="preserve">types of decisions on the merits of the case </w:t>
            </w:r>
            <w:r w:rsidR="008133AB" w:rsidRPr="00C3537E">
              <w:rPr>
                <w:rFonts w:ascii="Arial" w:hAnsi="Arial" w:cs="Arial"/>
                <w:b/>
                <w:bCs/>
                <w:sz w:val="20"/>
                <w:lang w:val="en-GB"/>
              </w:rPr>
              <w:t xml:space="preserve">relevant </w:t>
            </w:r>
            <w:r w:rsidRPr="00C3537E">
              <w:rPr>
                <w:rFonts w:ascii="Arial" w:hAnsi="Arial" w:cs="Arial"/>
                <w:b/>
                <w:bCs/>
                <w:sz w:val="20"/>
                <w:lang w:val="en-GB"/>
              </w:rPr>
              <w:t>particular</w:t>
            </w:r>
            <w:r w:rsidR="008133AB" w:rsidRPr="00C3537E">
              <w:rPr>
                <w:rFonts w:ascii="Arial" w:hAnsi="Arial" w:cs="Arial"/>
                <w:b/>
                <w:bCs/>
                <w:sz w:val="20"/>
                <w:lang w:val="en-GB"/>
              </w:rPr>
              <w:t>ly</w:t>
            </w:r>
            <w:r w:rsidR="007B7C69" w:rsidRPr="00C3537E">
              <w:rPr>
                <w:rFonts w:ascii="Arial" w:hAnsi="Arial" w:cs="Arial"/>
                <w:b/>
                <w:bCs/>
                <w:sz w:val="20"/>
                <w:lang w:val="en-GB"/>
              </w:rPr>
              <w:t xml:space="preserve">in hardcore cartel cases under the laws listed under Section 1 (if different from those listed under </w:t>
            </w:r>
            <w:r w:rsidR="00DE31AD" w:rsidRPr="00C3537E">
              <w:rPr>
                <w:rFonts w:ascii="Arial" w:hAnsi="Arial" w:cs="Arial"/>
                <w:b/>
                <w:bCs/>
                <w:sz w:val="20"/>
                <w:lang w:val="en-GB"/>
              </w:rPr>
              <w:t>12</w:t>
            </w:r>
            <w:r w:rsidR="007B7C69" w:rsidRPr="00C3537E">
              <w:rPr>
                <w:rFonts w:ascii="Arial" w:hAnsi="Arial" w:cs="Arial"/>
                <w:b/>
                <w:bCs/>
                <w:sz w:val="20"/>
                <w:lang w:val="en-GB"/>
              </w:rPr>
              <w:t>/A).</w:t>
            </w:r>
          </w:p>
        </w:tc>
        <w:tc>
          <w:tcPr>
            <w:tcW w:w="5834" w:type="dxa"/>
            <w:tcBorders>
              <w:right w:val="nil"/>
            </w:tcBorders>
          </w:tcPr>
          <w:p w14:paraId="1CF54816" w14:textId="77777777" w:rsidR="00EF1F2C" w:rsidRPr="0014740D" w:rsidRDefault="0014740D" w:rsidP="00EF1F2C">
            <w:pPr>
              <w:spacing w:before="120"/>
              <w:jc w:val="both"/>
              <w:rPr>
                <w:rFonts w:ascii="Arial" w:hAnsi="Arial" w:cs="Arial"/>
                <w:sz w:val="20"/>
                <w:lang w:val="en-US"/>
              </w:rPr>
            </w:pPr>
            <w:r w:rsidRPr="00943190">
              <w:rPr>
                <w:rFonts w:ascii="Arial" w:hAnsi="Arial" w:cs="Arial"/>
                <w:sz w:val="20"/>
                <w:lang w:val="en-US"/>
              </w:rPr>
              <w:t xml:space="preserve">Yes they are. The Superintendence of Industry and Commerce can be decreed Precautionary Measures related to the inmediated suspension of the conducts against </w:t>
            </w:r>
            <w:r>
              <w:rPr>
                <w:rFonts w:ascii="Arial" w:hAnsi="Arial" w:cs="Arial"/>
                <w:sz w:val="20"/>
                <w:lang w:val="en-US"/>
              </w:rPr>
              <w:t xml:space="preserve">the competition regime. </w:t>
            </w:r>
          </w:p>
          <w:p w14:paraId="08DB2D3E" w14:textId="77777777" w:rsidR="007B7C69" w:rsidRPr="00C3537E" w:rsidRDefault="007B7C69">
            <w:pPr>
              <w:spacing w:before="120"/>
              <w:rPr>
                <w:rFonts w:ascii="Arial" w:hAnsi="Arial" w:cs="Arial"/>
                <w:highlight w:val="red"/>
                <w:lang w:val="en-GB"/>
              </w:rPr>
            </w:pPr>
          </w:p>
        </w:tc>
      </w:tr>
      <w:tr w:rsidR="007B7C69" w:rsidRPr="00C3537E" w14:paraId="71819714" w14:textId="77777777" w:rsidTr="00F87CF4">
        <w:tblPrEx>
          <w:shd w:val="clear" w:color="auto" w:fill="auto"/>
        </w:tblPrEx>
        <w:tc>
          <w:tcPr>
            <w:tcW w:w="3428" w:type="dxa"/>
            <w:tcBorders>
              <w:left w:val="nil"/>
            </w:tcBorders>
            <w:shd w:val="clear" w:color="auto" w:fill="F3DFC3"/>
          </w:tcPr>
          <w:p w14:paraId="0BBFFBAD" w14:textId="77777777" w:rsidR="007B7C69" w:rsidRPr="00C3537E" w:rsidRDefault="007B7C69" w:rsidP="007B7C69">
            <w:pPr>
              <w:numPr>
                <w:ilvl w:val="0"/>
                <w:numId w:val="24"/>
              </w:numPr>
              <w:spacing w:before="120" w:after="120"/>
              <w:rPr>
                <w:rFonts w:ascii="Arial" w:hAnsi="Arial" w:cs="Arial"/>
                <w:b/>
                <w:bCs/>
                <w:sz w:val="20"/>
                <w:lang w:val="en-GB"/>
              </w:rPr>
            </w:pPr>
            <w:r w:rsidRPr="00C3537E">
              <w:rPr>
                <w:rFonts w:ascii="Arial" w:hAnsi="Arial" w:cs="Arial"/>
                <w:b/>
                <w:bCs/>
                <w:sz w:val="20"/>
                <w:lang w:val="en-GB"/>
              </w:rPr>
              <w:t>Can interim measures</w:t>
            </w:r>
            <w:r w:rsidRPr="00C3537E">
              <w:rPr>
                <w:rStyle w:val="Refdenotaalpie"/>
                <w:rFonts w:cs="Arial"/>
                <w:b/>
                <w:bCs/>
                <w:lang w:val="en-GB"/>
              </w:rPr>
              <w:footnoteReference w:id="11"/>
            </w:r>
            <w:r w:rsidRPr="00C3537E">
              <w:rPr>
                <w:rFonts w:ascii="Arial" w:hAnsi="Arial" w:cs="Arial"/>
                <w:b/>
                <w:bCs/>
                <w:sz w:val="20"/>
                <w:lang w:val="en-GB"/>
              </w:rPr>
              <w:t xml:space="preserve"> be ordered during the proceedings in cartel cases? (if different measures for hardcore cartels please describe both</w:t>
            </w:r>
            <w:r w:rsidRPr="00C3537E">
              <w:rPr>
                <w:rStyle w:val="Refdenotaalpie"/>
                <w:rFonts w:cs="Arial"/>
                <w:b/>
                <w:bCs/>
                <w:lang w:val="en-GB"/>
              </w:rPr>
              <w:footnoteReference w:id="12"/>
            </w:r>
            <w:r w:rsidRPr="00C3537E">
              <w:rPr>
                <w:rFonts w:ascii="Arial" w:hAnsi="Arial" w:cs="Arial"/>
                <w:b/>
                <w:bCs/>
                <w:sz w:val="20"/>
                <w:lang w:val="en-GB"/>
              </w:rPr>
              <w:t>.) Which institution (the investigatory / the decision-making one) is authorised to take such decisions? What are the conditions for taking such a decision?</w:t>
            </w:r>
          </w:p>
        </w:tc>
        <w:tc>
          <w:tcPr>
            <w:tcW w:w="5834" w:type="dxa"/>
            <w:tcBorders>
              <w:right w:val="nil"/>
            </w:tcBorders>
          </w:tcPr>
          <w:p w14:paraId="5F26E08E" w14:textId="77777777" w:rsidR="007B7C69" w:rsidRPr="00C3537E" w:rsidRDefault="00EF1F2C" w:rsidP="00EF1F2C">
            <w:pPr>
              <w:spacing w:before="120"/>
              <w:jc w:val="both"/>
              <w:rPr>
                <w:rFonts w:ascii="Arial" w:hAnsi="Arial" w:cs="Arial"/>
                <w:highlight w:val="red"/>
                <w:lang w:val="en-GB"/>
              </w:rPr>
            </w:pPr>
            <w:r>
              <w:rPr>
                <w:rFonts w:ascii="Arial" w:hAnsi="Arial" w:cs="Arial"/>
                <w:sz w:val="20"/>
                <w:szCs w:val="20"/>
                <w:lang w:val="en-GB"/>
              </w:rPr>
              <w:t>According to Article 18 of Law 1340 of 2009, the Superintendent of Industry and Commerce can order interim measures when, without them, the effectiveness of a future decision is in risk.</w:t>
            </w:r>
          </w:p>
        </w:tc>
      </w:tr>
    </w:tbl>
    <w:p w14:paraId="138DBEE6" w14:textId="77777777" w:rsidR="007B7C69" w:rsidRPr="00C3537E" w:rsidRDefault="007B7C69">
      <w:pPr>
        <w:pStyle w:val="Textoindependiente"/>
        <w:ind w:left="0"/>
        <w:rPr>
          <w:rFonts w:ascii="Arial" w:hAnsi="Arial" w:cs="Arial"/>
          <w:lang w:val="en-GB"/>
        </w:rPr>
      </w:pPr>
    </w:p>
    <w:p w14:paraId="3FE12EEF" w14:textId="77777777" w:rsidR="007B7C69" w:rsidRPr="00C3537E" w:rsidRDefault="007B7C69">
      <w:pPr>
        <w:pStyle w:val="Textoindependiente"/>
        <w:ind w:left="0"/>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71"/>
        <w:gridCol w:w="5665"/>
      </w:tblGrid>
      <w:tr w:rsidR="007B7C69" w:rsidRPr="00C3537E" w14:paraId="6C1B5F37" w14:textId="77777777" w:rsidTr="00EF1F2C">
        <w:tc>
          <w:tcPr>
            <w:tcW w:w="9036" w:type="dxa"/>
            <w:gridSpan w:val="2"/>
            <w:shd w:val="clear" w:color="auto" w:fill="61243B"/>
          </w:tcPr>
          <w:p w14:paraId="3CD25533" w14:textId="77777777" w:rsidR="007B7C69" w:rsidRPr="00C3537E" w:rsidRDefault="007B7C69" w:rsidP="00C3537E">
            <w:pPr>
              <w:pStyle w:val="Ttulo1"/>
              <w:spacing w:before="240"/>
              <w:rPr>
                <w:rFonts w:ascii="Arial" w:hAnsi="Arial" w:cs="Arial"/>
                <w:color w:val="FFFFFF"/>
                <w:sz w:val="28"/>
                <w:lang w:val="en-GB"/>
              </w:rPr>
            </w:pPr>
            <w:r w:rsidRPr="00C3537E">
              <w:rPr>
                <w:rFonts w:ascii="Arial" w:hAnsi="Arial" w:cs="Arial"/>
                <w:color w:val="FFFFFF"/>
                <w:sz w:val="28"/>
                <w:lang w:val="en-GB"/>
              </w:rPr>
              <w:t>Sanctions for procedural breaches (non-compliance with procedural obligations)</w:t>
            </w:r>
            <w:r w:rsidR="00DE31AD" w:rsidRPr="00C3537E">
              <w:rPr>
                <w:rFonts w:ascii="Arial" w:hAnsi="Arial" w:cs="Arial"/>
                <w:color w:val="FFFFFF"/>
                <w:sz w:val="28"/>
                <w:lang w:val="en-GB"/>
              </w:rPr>
              <w:t xml:space="preserve"> in the course of investigations</w:t>
            </w:r>
          </w:p>
        </w:tc>
      </w:tr>
      <w:tr w:rsidR="007B7C69" w:rsidRPr="00C3537E" w14:paraId="6F555B56" w14:textId="77777777" w:rsidTr="00EF1F2C">
        <w:tblPrEx>
          <w:shd w:val="clear" w:color="auto" w:fill="auto"/>
        </w:tblPrEx>
        <w:tc>
          <w:tcPr>
            <w:tcW w:w="3371" w:type="dxa"/>
            <w:tcBorders>
              <w:left w:val="nil"/>
            </w:tcBorders>
            <w:shd w:val="clear" w:color="auto" w:fill="F3DFC3"/>
          </w:tcPr>
          <w:p w14:paraId="7120AB14" w14:textId="77777777" w:rsidR="007B7C69" w:rsidRPr="00C3537E" w:rsidRDefault="007B7C69" w:rsidP="007B7C69">
            <w:pPr>
              <w:numPr>
                <w:ilvl w:val="0"/>
                <w:numId w:val="20"/>
              </w:numPr>
              <w:spacing w:before="120" w:after="120"/>
              <w:rPr>
                <w:rFonts w:ascii="Arial" w:hAnsi="Arial" w:cs="Arial"/>
                <w:b/>
                <w:bCs/>
                <w:sz w:val="20"/>
                <w:lang w:val="en-GB"/>
              </w:rPr>
            </w:pPr>
            <w:r w:rsidRPr="00C3537E">
              <w:rPr>
                <w:rFonts w:ascii="Arial" w:hAnsi="Arial" w:cs="Arial"/>
                <w:b/>
                <w:bCs/>
                <w:sz w:val="20"/>
                <w:lang w:val="en-GB"/>
              </w:rPr>
              <w:t>Grounds for the imposition of procedural sanctions / fines</w:t>
            </w:r>
            <w:r w:rsidR="00F54D28" w:rsidRPr="00643921">
              <w:rPr>
                <w:rFonts w:ascii="Arial" w:hAnsi="Arial" w:cs="Arial"/>
                <w:b/>
                <w:bCs/>
                <w:sz w:val="20"/>
                <w:szCs w:val="20"/>
                <w:lang w:val="en-GB"/>
              </w:rPr>
              <w:t>[e.g. late provision of requested information, false or incomplete provision of information, lack of notice, lack of disclosure, obstruction of justice, destruction of evidence, challenging the validity of documents authorizing investigative measures, etc.]</w:t>
            </w:r>
            <w:r w:rsidRPr="00643921">
              <w:rPr>
                <w:rFonts w:ascii="Arial" w:hAnsi="Arial" w:cs="Arial"/>
                <w:b/>
                <w:bCs/>
                <w:sz w:val="20"/>
                <w:szCs w:val="20"/>
                <w:lang w:val="en-GB"/>
              </w:rPr>
              <w:t>:</w:t>
            </w:r>
          </w:p>
        </w:tc>
        <w:tc>
          <w:tcPr>
            <w:tcW w:w="5665" w:type="dxa"/>
            <w:tcBorders>
              <w:right w:val="nil"/>
            </w:tcBorders>
          </w:tcPr>
          <w:p w14:paraId="0D4FFFE7" w14:textId="77777777" w:rsidR="00EF1F2C" w:rsidRPr="006B73AA" w:rsidRDefault="00EF1F2C" w:rsidP="00EF1F2C">
            <w:pPr>
              <w:spacing w:before="120"/>
              <w:jc w:val="both"/>
              <w:rPr>
                <w:rFonts w:ascii="Arial" w:hAnsi="Arial" w:cs="Arial"/>
                <w:sz w:val="20"/>
                <w:szCs w:val="20"/>
                <w:lang w:val="en-GB"/>
              </w:rPr>
            </w:pPr>
            <w:r w:rsidRPr="006B73AA">
              <w:rPr>
                <w:rFonts w:ascii="Arial" w:hAnsi="Arial" w:cs="Arial"/>
                <w:sz w:val="20"/>
                <w:szCs w:val="20"/>
                <w:lang w:val="en-GB"/>
              </w:rPr>
              <w:t xml:space="preserve">The following provisions regulate the sanctions </w:t>
            </w:r>
            <w:r>
              <w:rPr>
                <w:rFonts w:ascii="Arial" w:hAnsi="Arial" w:cs="Arial"/>
                <w:sz w:val="20"/>
                <w:szCs w:val="20"/>
                <w:lang w:val="en-GB"/>
              </w:rPr>
              <w:t>that can be imposed</w:t>
            </w:r>
            <w:r w:rsidRPr="006B73AA">
              <w:rPr>
                <w:rFonts w:ascii="Arial" w:hAnsi="Arial" w:cs="Arial"/>
                <w:sz w:val="20"/>
                <w:szCs w:val="20"/>
                <w:lang w:val="en-GB"/>
              </w:rPr>
              <w:t xml:space="preserve"> due to procedural breach</w:t>
            </w:r>
            <w:r>
              <w:rPr>
                <w:rFonts w:ascii="Arial" w:hAnsi="Arial" w:cs="Arial"/>
                <w:sz w:val="20"/>
                <w:szCs w:val="20"/>
                <w:lang w:val="en-GB"/>
              </w:rPr>
              <w:t>es</w:t>
            </w:r>
            <w:r w:rsidRPr="006B73AA">
              <w:rPr>
                <w:rFonts w:ascii="Arial" w:hAnsi="Arial" w:cs="Arial"/>
                <w:sz w:val="20"/>
                <w:szCs w:val="20"/>
                <w:lang w:val="en-GB"/>
              </w:rPr>
              <w:t xml:space="preserve">: </w:t>
            </w:r>
          </w:p>
          <w:p w14:paraId="5118E81B" w14:textId="77777777" w:rsidR="00EF1F2C" w:rsidRPr="006B73AA" w:rsidRDefault="0014740D" w:rsidP="00EF1F2C">
            <w:pPr>
              <w:numPr>
                <w:ilvl w:val="4"/>
                <w:numId w:val="37"/>
              </w:numPr>
              <w:spacing w:before="120"/>
              <w:ind w:left="378"/>
              <w:jc w:val="both"/>
              <w:rPr>
                <w:rFonts w:ascii="Arial" w:hAnsi="Arial" w:cs="Arial"/>
                <w:sz w:val="20"/>
                <w:szCs w:val="20"/>
                <w:lang w:val="en-GB"/>
              </w:rPr>
            </w:pPr>
            <w:r>
              <w:rPr>
                <w:rFonts w:ascii="Arial" w:hAnsi="Arial" w:cs="Arial"/>
                <w:sz w:val="20"/>
                <w:szCs w:val="20"/>
                <w:lang w:val="en-GB"/>
              </w:rPr>
              <w:t>Point</w:t>
            </w:r>
            <w:r w:rsidR="00EF1F2C" w:rsidRPr="006B73AA">
              <w:rPr>
                <w:rFonts w:ascii="Arial" w:hAnsi="Arial" w:cs="Arial"/>
                <w:sz w:val="20"/>
                <w:szCs w:val="20"/>
                <w:lang w:val="en-GB"/>
              </w:rPr>
              <w:t xml:space="preserve"> 4 of A</w:t>
            </w:r>
            <w:r w:rsidR="00EF1F2C" w:rsidRPr="006B73AA">
              <w:rPr>
                <w:rFonts w:ascii="Arial" w:hAnsi="Arial" w:cs="Arial"/>
                <w:sz w:val="20"/>
                <w:szCs w:val="20"/>
              </w:rPr>
              <w:t xml:space="preserve">rtícle 1; </w:t>
            </w:r>
            <w:r>
              <w:rPr>
                <w:rFonts w:ascii="Arial" w:hAnsi="Arial" w:cs="Arial"/>
                <w:sz w:val="20"/>
                <w:szCs w:val="20"/>
              </w:rPr>
              <w:t xml:space="preserve">Point </w:t>
            </w:r>
            <w:r w:rsidR="00EF1F2C" w:rsidRPr="006B73AA">
              <w:rPr>
                <w:rFonts w:ascii="Arial" w:hAnsi="Arial" w:cs="Arial"/>
                <w:sz w:val="20"/>
                <w:szCs w:val="20"/>
              </w:rPr>
              <w:t xml:space="preserve">11 of Artícle 3; and </w:t>
            </w:r>
            <w:r w:rsidR="00B65E38">
              <w:rPr>
                <w:rFonts w:ascii="Arial" w:hAnsi="Arial" w:cs="Arial"/>
                <w:sz w:val="20"/>
                <w:szCs w:val="20"/>
              </w:rPr>
              <w:t>point</w:t>
            </w:r>
            <w:r w:rsidR="00EF1F2C" w:rsidRPr="006B73AA">
              <w:rPr>
                <w:rFonts w:ascii="Arial" w:hAnsi="Arial" w:cs="Arial"/>
                <w:sz w:val="20"/>
                <w:szCs w:val="20"/>
              </w:rPr>
              <w:t xml:space="preserve">12 of Artículo 8 of Decree 4886. </w:t>
            </w:r>
          </w:p>
          <w:p w14:paraId="438D2D93" w14:textId="77777777" w:rsidR="00EF1F2C" w:rsidRPr="006B73AA" w:rsidRDefault="0014740D" w:rsidP="00EF1F2C">
            <w:pPr>
              <w:numPr>
                <w:ilvl w:val="4"/>
                <w:numId w:val="37"/>
              </w:numPr>
              <w:spacing w:before="120"/>
              <w:ind w:left="378"/>
              <w:jc w:val="both"/>
              <w:rPr>
                <w:rFonts w:ascii="Arial" w:hAnsi="Arial" w:cs="Arial"/>
                <w:sz w:val="20"/>
                <w:szCs w:val="20"/>
                <w:lang w:val="en-GB"/>
              </w:rPr>
            </w:pPr>
            <w:r>
              <w:rPr>
                <w:rFonts w:ascii="Arial" w:hAnsi="Arial" w:cs="Arial"/>
                <w:sz w:val="20"/>
                <w:szCs w:val="20"/>
              </w:rPr>
              <w:t>Point</w:t>
            </w:r>
            <w:r w:rsidR="00002661">
              <w:rPr>
                <w:rFonts w:ascii="Arial" w:hAnsi="Arial" w:cs="Arial"/>
                <w:sz w:val="20"/>
                <w:szCs w:val="20"/>
              </w:rPr>
              <w:t>s</w:t>
            </w:r>
            <w:r w:rsidRPr="0014740D">
              <w:rPr>
                <w:rFonts w:ascii="Arial" w:hAnsi="Arial" w:cs="Arial"/>
                <w:sz w:val="20"/>
                <w:szCs w:val="20"/>
              </w:rPr>
              <w:t>15</w:t>
            </w:r>
            <w:r w:rsidR="00002661">
              <w:rPr>
                <w:rFonts w:ascii="Arial" w:hAnsi="Arial" w:cs="Arial"/>
                <w:sz w:val="20"/>
                <w:szCs w:val="20"/>
              </w:rPr>
              <w:t xml:space="preserve"> and 16</w:t>
            </w:r>
            <w:r w:rsidR="00973C61">
              <w:rPr>
                <w:rFonts w:ascii="Arial" w:hAnsi="Arial" w:cs="Arial"/>
                <w:sz w:val="20"/>
                <w:szCs w:val="20"/>
              </w:rPr>
              <w:t xml:space="preserve"> </w:t>
            </w:r>
            <w:r>
              <w:rPr>
                <w:rFonts w:ascii="Arial" w:hAnsi="Arial" w:cs="Arial"/>
                <w:sz w:val="20"/>
                <w:szCs w:val="20"/>
              </w:rPr>
              <w:t>of</w:t>
            </w:r>
            <w:r w:rsidR="00973C61">
              <w:rPr>
                <w:rFonts w:ascii="Arial" w:hAnsi="Arial" w:cs="Arial"/>
                <w:sz w:val="20"/>
                <w:szCs w:val="20"/>
              </w:rPr>
              <w:t xml:space="preserve"> </w:t>
            </w:r>
            <w:r>
              <w:rPr>
                <w:rFonts w:ascii="Arial" w:hAnsi="Arial" w:cs="Arial"/>
                <w:sz w:val="20"/>
                <w:szCs w:val="20"/>
              </w:rPr>
              <w:t xml:space="preserve">Article </w:t>
            </w:r>
            <w:r w:rsidRPr="0014740D">
              <w:rPr>
                <w:rFonts w:ascii="Arial" w:hAnsi="Arial" w:cs="Arial"/>
                <w:sz w:val="20"/>
                <w:szCs w:val="20"/>
              </w:rPr>
              <w:t xml:space="preserve">4 </w:t>
            </w:r>
            <w:r>
              <w:rPr>
                <w:rFonts w:ascii="Arial" w:hAnsi="Arial" w:cs="Arial"/>
                <w:sz w:val="20"/>
                <w:szCs w:val="20"/>
              </w:rPr>
              <w:t>of the</w:t>
            </w:r>
            <w:r w:rsidRPr="0014740D">
              <w:rPr>
                <w:rFonts w:ascii="Arial" w:hAnsi="Arial" w:cs="Arial"/>
                <w:sz w:val="20"/>
                <w:szCs w:val="20"/>
              </w:rPr>
              <w:t xml:space="preserve"> Decr</w:t>
            </w:r>
            <w:r>
              <w:rPr>
                <w:rFonts w:ascii="Arial" w:hAnsi="Arial" w:cs="Arial"/>
                <w:sz w:val="20"/>
                <w:szCs w:val="20"/>
              </w:rPr>
              <w:t>e</w:t>
            </w:r>
            <w:r w:rsidRPr="0014740D">
              <w:rPr>
                <w:rFonts w:ascii="Arial" w:hAnsi="Arial" w:cs="Arial"/>
                <w:sz w:val="20"/>
                <w:szCs w:val="20"/>
              </w:rPr>
              <w:t>e</w:t>
            </w:r>
            <w:r w:rsidR="00973C61">
              <w:rPr>
                <w:rFonts w:ascii="Arial" w:hAnsi="Arial" w:cs="Arial"/>
                <w:sz w:val="20"/>
                <w:szCs w:val="20"/>
              </w:rPr>
              <w:t xml:space="preserve"> </w:t>
            </w:r>
            <w:r w:rsidRPr="0014740D">
              <w:rPr>
                <w:rFonts w:ascii="Arial" w:hAnsi="Arial" w:cs="Arial"/>
                <w:sz w:val="20"/>
                <w:szCs w:val="20"/>
              </w:rPr>
              <w:t xml:space="preserve">2153 </w:t>
            </w:r>
            <w:r>
              <w:rPr>
                <w:rFonts w:ascii="Arial" w:hAnsi="Arial" w:cs="Arial"/>
                <w:sz w:val="20"/>
                <w:szCs w:val="20"/>
              </w:rPr>
              <w:t>of</w:t>
            </w:r>
            <w:r w:rsidRPr="0014740D">
              <w:rPr>
                <w:rFonts w:ascii="Arial" w:hAnsi="Arial" w:cs="Arial"/>
                <w:sz w:val="20"/>
                <w:szCs w:val="20"/>
              </w:rPr>
              <w:t xml:space="preserve"> 1992 </w:t>
            </w:r>
            <w:r>
              <w:rPr>
                <w:rFonts w:ascii="Arial" w:hAnsi="Arial" w:cs="Arial"/>
                <w:sz w:val="20"/>
                <w:szCs w:val="20"/>
              </w:rPr>
              <w:t xml:space="preserve">modified by the </w:t>
            </w:r>
            <w:r w:rsidR="00EF1F2C" w:rsidRPr="006B73AA">
              <w:rPr>
                <w:rFonts w:ascii="Arial" w:hAnsi="Arial" w:cs="Arial"/>
                <w:sz w:val="20"/>
                <w:szCs w:val="20"/>
              </w:rPr>
              <w:t>Articles</w:t>
            </w:r>
            <w:r w:rsidR="00EF1F2C">
              <w:rPr>
                <w:rFonts w:ascii="Arial" w:hAnsi="Arial" w:cs="Arial"/>
                <w:sz w:val="20"/>
                <w:szCs w:val="20"/>
              </w:rPr>
              <w:t xml:space="preserve"> 25 and 26 of Law 1340 of 2009 (fines applicable, which are the same that apply for anticmopetitive practices).</w:t>
            </w:r>
          </w:p>
          <w:p w14:paraId="1A1A2B1C" w14:textId="77777777" w:rsidR="00EF1F2C" w:rsidRDefault="00EF1F2C" w:rsidP="00EF1F2C">
            <w:pPr>
              <w:spacing w:before="120"/>
              <w:jc w:val="both"/>
              <w:rPr>
                <w:rFonts w:ascii="Arial" w:hAnsi="Arial" w:cs="Arial"/>
                <w:sz w:val="20"/>
                <w:szCs w:val="20"/>
                <w:lang w:val="en-GB"/>
              </w:rPr>
            </w:pPr>
            <w:r>
              <w:rPr>
                <w:rFonts w:ascii="Arial" w:hAnsi="Arial" w:cs="Arial"/>
                <w:sz w:val="20"/>
                <w:szCs w:val="20"/>
                <w:lang w:val="en-GB"/>
              </w:rPr>
              <w:t xml:space="preserve">The offender or a requested company can be subject to a sanction for procedural breaches when: </w:t>
            </w:r>
          </w:p>
          <w:p w14:paraId="78F48851" w14:textId="77777777" w:rsidR="00EF1F2C" w:rsidRDefault="00EF1F2C" w:rsidP="00EF1F2C">
            <w:pPr>
              <w:numPr>
                <w:ilvl w:val="4"/>
                <w:numId w:val="37"/>
              </w:numPr>
              <w:spacing w:before="120"/>
              <w:ind w:left="378"/>
              <w:jc w:val="both"/>
              <w:rPr>
                <w:rFonts w:ascii="Arial" w:hAnsi="Arial" w:cs="Arial"/>
                <w:sz w:val="20"/>
                <w:szCs w:val="20"/>
                <w:lang w:val="en-GB"/>
              </w:rPr>
            </w:pPr>
            <w:r>
              <w:rPr>
                <w:rFonts w:ascii="Arial" w:hAnsi="Arial" w:cs="Arial"/>
                <w:sz w:val="20"/>
                <w:szCs w:val="20"/>
                <w:lang w:val="en-GB"/>
              </w:rPr>
              <w:t xml:space="preserve">The requested information is provided late. </w:t>
            </w:r>
          </w:p>
          <w:p w14:paraId="581E7FA3" w14:textId="77777777" w:rsidR="00EF1F2C" w:rsidRDefault="00EF1F2C" w:rsidP="00EF1F2C">
            <w:pPr>
              <w:numPr>
                <w:ilvl w:val="4"/>
                <w:numId w:val="37"/>
              </w:numPr>
              <w:spacing w:before="120"/>
              <w:ind w:left="378"/>
              <w:jc w:val="both"/>
              <w:rPr>
                <w:rFonts w:ascii="Arial" w:hAnsi="Arial" w:cs="Arial"/>
                <w:sz w:val="20"/>
                <w:szCs w:val="20"/>
                <w:lang w:val="en-GB"/>
              </w:rPr>
            </w:pPr>
            <w:r w:rsidRPr="006B73AA">
              <w:rPr>
                <w:rFonts w:ascii="Arial" w:hAnsi="Arial" w:cs="Arial"/>
                <w:sz w:val="20"/>
                <w:szCs w:val="20"/>
                <w:lang w:val="en-GB"/>
              </w:rPr>
              <w:t>The</w:t>
            </w:r>
            <w:r>
              <w:rPr>
                <w:rFonts w:ascii="Arial" w:hAnsi="Arial" w:cs="Arial"/>
                <w:sz w:val="20"/>
                <w:szCs w:val="20"/>
                <w:lang w:val="en-GB"/>
              </w:rPr>
              <w:t xml:space="preserve"> provision of the</w:t>
            </w:r>
            <w:r w:rsidRPr="006B73AA">
              <w:rPr>
                <w:rFonts w:ascii="Arial" w:hAnsi="Arial" w:cs="Arial"/>
                <w:sz w:val="20"/>
                <w:szCs w:val="20"/>
                <w:lang w:val="en-GB"/>
              </w:rPr>
              <w:t xml:space="preserve"> information is </w:t>
            </w:r>
            <w:r>
              <w:rPr>
                <w:rFonts w:ascii="Arial" w:hAnsi="Arial" w:cs="Arial"/>
                <w:sz w:val="20"/>
                <w:szCs w:val="20"/>
                <w:lang w:val="en-GB"/>
              </w:rPr>
              <w:t>f</w:t>
            </w:r>
            <w:r w:rsidRPr="006B73AA">
              <w:rPr>
                <w:rFonts w:ascii="Arial" w:hAnsi="Arial" w:cs="Arial"/>
                <w:sz w:val="20"/>
                <w:szCs w:val="20"/>
                <w:lang w:val="en-GB"/>
              </w:rPr>
              <w:t>alse or incomplete</w:t>
            </w:r>
            <w:r>
              <w:rPr>
                <w:rFonts w:ascii="Arial" w:hAnsi="Arial" w:cs="Arial"/>
                <w:sz w:val="20"/>
                <w:szCs w:val="20"/>
                <w:lang w:val="en-GB"/>
              </w:rPr>
              <w:t xml:space="preserve">. </w:t>
            </w:r>
          </w:p>
          <w:p w14:paraId="251385EE" w14:textId="77777777" w:rsidR="00EF1F2C" w:rsidRDefault="00EF1F2C" w:rsidP="00EF1F2C">
            <w:pPr>
              <w:numPr>
                <w:ilvl w:val="4"/>
                <w:numId w:val="37"/>
              </w:numPr>
              <w:spacing w:before="120"/>
              <w:ind w:left="378"/>
              <w:jc w:val="both"/>
              <w:rPr>
                <w:rFonts w:ascii="Arial" w:hAnsi="Arial" w:cs="Arial"/>
                <w:sz w:val="20"/>
                <w:szCs w:val="20"/>
                <w:lang w:val="en-GB"/>
              </w:rPr>
            </w:pPr>
            <w:r>
              <w:rPr>
                <w:rFonts w:ascii="Arial" w:hAnsi="Arial" w:cs="Arial"/>
                <w:sz w:val="20"/>
                <w:szCs w:val="20"/>
                <w:lang w:val="en-GB"/>
              </w:rPr>
              <w:t xml:space="preserve">Some information </w:t>
            </w:r>
            <w:r w:rsidRPr="006B73AA">
              <w:rPr>
                <w:rFonts w:ascii="Arial" w:hAnsi="Arial" w:cs="Arial"/>
                <w:sz w:val="20"/>
                <w:szCs w:val="20"/>
                <w:lang w:val="en-GB"/>
              </w:rPr>
              <w:t>has</w:t>
            </w:r>
            <w:r>
              <w:rPr>
                <w:rFonts w:ascii="Arial" w:hAnsi="Arial" w:cs="Arial"/>
                <w:sz w:val="20"/>
                <w:szCs w:val="20"/>
                <w:lang w:val="en-GB"/>
              </w:rPr>
              <w:t xml:space="preserve"> been destroyed. </w:t>
            </w:r>
          </w:p>
          <w:p w14:paraId="7905BCA5" w14:textId="77777777" w:rsidR="00EF1F2C" w:rsidRDefault="00EF1F2C" w:rsidP="00EF1F2C">
            <w:pPr>
              <w:numPr>
                <w:ilvl w:val="4"/>
                <w:numId w:val="37"/>
              </w:numPr>
              <w:spacing w:before="120"/>
              <w:ind w:left="378"/>
              <w:jc w:val="both"/>
              <w:rPr>
                <w:rFonts w:ascii="Arial" w:hAnsi="Arial" w:cs="Arial"/>
                <w:sz w:val="20"/>
                <w:szCs w:val="20"/>
                <w:lang w:val="en-GB"/>
              </w:rPr>
            </w:pPr>
            <w:r>
              <w:rPr>
                <w:rFonts w:ascii="Arial" w:hAnsi="Arial" w:cs="Arial"/>
                <w:sz w:val="20"/>
                <w:szCs w:val="20"/>
                <w:lang w:val="en-GB"/>
              </w:rPr>
              <w:t xml:space="preserve">Refuses to provide information. </w:t>
            </w:r>
          </w:p>
          <w:p w14:paraId="6C230731" w14:textId="77777777" w:rsidR="00EF1F2C" w:rsidRDefault="00EF1F2C" w:rsidP="00EF1F2C">
            <w:pPr>
              <w:numPr>
                <w:ilvl w:val="4"/>
                <w:numId w:val="37"/>
              </w:numPr>
              <w:spacing w:before="120"/>
              <w:ind w:left="378"/>
              <w:jc w:val="both"/>
              <w:rPr>
                <w:rFonts w:ascii="Arial" w:hAnsi="Arial" w:cs="Arial"/>
                <w:sz w:val="20"/>
                <w:szCs w:val="20"/>
                <w:lang w:val="en-GB"/>
              </w:rPr>
            </w:pPr>
            <w:r>
              <w:rPr>
                <w:rFonts w:ascii="Arial" w:hAnsi="Arial" w:cs="Arial"/>
                <w:sz w:val="20"/>
                <w:szCs w:val="20"/>
                <w:lang w:val="en-GB"/>
              </w:rPr>
              <w:t xml:space="preserve">Lacks of notice or </w:t>
            </w:r>
            <w:r w:rsidRPr="006B73AA">
              <w:rPr>
                <w:rFonts w:ascii="Arial" w:hAnsi="Arial" w:cs="Arial"/>
                <w:sz w:val="20"/>
                <w:szCs w:val="20"/>
                <w:lang w:val="en-GB"/>
              </w:rPr>
              <w:t>disclosure</w:t>
            </w:r>
          </w:p>
          <w:p w14:paraId="16D7C961" w14:textId="77777777" w:rsidR="007B7C69" w:rsidRPr="00C3537E" w:rsidRDefault="00EF1F2C" w:rsidP="00EF1F2C">
            <w:pPr>
              <w:spacing w:before="120"/>
              <w:jc w:val="both"/>
              <w:rPr>
                <w:rFonts w:ascii="Arial" w:hAnsi="Arial" w:cs="Arial"/>
                <w:sz w:val="20"/>
                <w:lang w:val="en-GB"/>
              </w:rPr>
            </w:pPr>
            <w:r>
              <w:rPr>
                <w:rFonts w:ascii="Arial" w:hAnsi="Arial" w:cs="Arial"/>
                <w:sz w:val="20"/>
                <w:szCs w:val="20"/>
                <w:lang w:val="en-GB"/>
              </w:rPr>
              <w:t xml:space="preserve">In general, when there are obstructions to the investigation </w:t>
            </w:r>
            <w:r w:rsidRPr="006B73AA">
              <w:rPr>
                <w:rFonts w:ascii="Arial" w:hAnsi="Arial" w:cs="Arial"/>
                <w:sz w:val="20"/>
                <w:szCs w:val="20"/>
                <w:lang w:val="en-GB"/>
              </w:rPr>
              <w:t xml:space="preserve">by </w:t>
            </w:r>
            <w:r>
              <w:rPr>
                <w:rFonts w:ascii="Arial" w:hAnsi="Arial" w:cs="Arial"/>
                <w:sz w:val="20"/>
                <w:szCs w:val="20"/>
                <w:lang w:val="en-GB"/>
              </w:rPr>
              <w:t>refusing</w:t>
            </w:r>
            <w:r w:rsidRPr="006B73AA">
              <w:rPr>
                <w:rFonts w:ascii="Arial" w:hAnsi="Arial" w:cs="Arial"/>
                <w:sz w:val="20"/>
                <w:szCs w:val="20"/>
                <w:lang w:val="en-GB"/>
              </w:rPr>
              <w:t xml:space="preserve">, </w:t>
            </w:r>
            <w:r>
              <w:rPr>
                <w:rFonts w:ascii="Arial" w:hAnsi="Arial" w:cs="Arial"/>
                <w:sz w:val="20"/>
                <w:szCs w:val="20"/>
                <w:lang w:val="en-GB"/>
              </w:rPr>
              <w:t xml:space="preserve">delaying or </w:t>
            </w:r>
            <w:r w:rsidRPr="006B73AA">
              <w:rPr>
                <w:rFonts w:ascii="Arial" w:hAnsi="Arial" w:cs="Arial"/>
                <w:sz w:val="20"/>
                <w:szCs w:val="20"/>
                <w:lang w:val="en-GB"/>
              </w:rPr>
              <w:t xml:space="preserve">challenging the </w:t>
            </w:r>
            <w:r>
              <w:rPr>
                <w:rFonts w:ascii="Arial" w:hAnsi="Arial" w:cs="Arial"/>
                <w:sz w:val="20"/>
                <w:szCs w:val="20"/>
                <w:lang w:val="en-GB"/>
              </w:rPr>
              <w:t xml:space="preserve">powers of the Authority to carry out </w:t>
            </w:r>
            <w:r w:rsidRPr="006B73AA">
              <w:rPr>
                <w:rFonts w:ascii="Arial" w:hAnsi="Arial" w:cs="Arial"/>
                <w:sz w:val="20"/>
                <w:szCs w:val="20"/>
                <w:lang w:val="en-GB"/>
              </w:rPr>
              <w:t>investigative measures.</w:t>
            </w:r>
          </w:p>
        </w:tc>
      </w:tr>
      <w:tr w:rsidR="00EF1F2C" w:rsidRPr="00C3537E" w14:paraId="43F6A185" w14:textId="77777777" w:rsidTr="00EF1F2C">
        <w:tblPrEx>
          <w:shd w:val="clear" w:color="auto" w:fill="auto"/>
        </w:tblPrEx>
        <w:tc>
          <w:tcPr>
            <w:tcW w:w="3371" w:type="dxa"/>
            <w:tcBorders>
              <w:left w:val="nil"/>
            </w:tcBorders>
            <w:shd w:val="clear" w:color="auto" w:fill="F3DFC3"/>
          </w:tcPr>
          <w:p w14:paraId="389DEEEC" w14:textId="77777777" w:rsidR="00EF1F2C" w:rsidRPr="00C3537E" w:rsidRDefault="00EF1F2C" w:rsidP="00EF1F2C">
            <w:pPr>
              <w:numPr>
                <w:ilvl w:val="0"/>
                <w:numId w:val="20"/>
              </w:numPr>
              <w:spacing w:before="120" w:after="120"/>
              <w:rPr>
                <w:rFonts w:ascii="Arial" w:hAnsi="Arial" w:cs="Arial"/>
                <w:b/>
                <w:bCs/>
                <w:sz w:val="20"/>
                <w:lang w:val="en-GB"/>
              </w:rPr>
            </w:pPr>
            <w:r w:rsidRPr="00C3537E">
              <w:rPr>
                <w:rFonts w:ascii="Arial" w:hAnsi="Arial" w:cs="Arial"/>
                <w:b/>
                <w:bCs/>
                <w:sz w:val="20"/>
                <w:lang w:val="en-GB"/>
              </w:rPr>
              <w:t>Type and nature of the sanction (civil, administrative, criminal, combined; pecuniary or other):</w:t>
            </w:r>
          </w:p>
        </w:tc>
        <w:tc>
          <w:tcPr>
            <w:tcW w:w="5665" w:type="dxa"/>
            <w:tcBorders>
              <w:right w:val="nil"/>
            </w:tcBorders>
          </w:tcPr>
          <w:p w14:paraId="1DE3B72B" w14:textId="77777777" w:rsidR="00EF1F2C" w:rsidRPr="00EF1F2C" w:rsidRDefault="00EF1F2C" w:rsidP="00EF1F2C">
            <w:pPr>
              <w:spacing w:before="120"/>
              <w:rPr>
                <w:rFonts w:ascii="Arial" w:hAnsi="Arial" w:cs="Arial"/>
                <w:sz w:val="20"/>
                <w:lang w:val="en-GB"/>
              </w:rPr>
            </w:pPr>
            <w:r>
              <w:rPr>
                <w:rFonts w:ascii="Arial" w:hAnsi="Arial" w:cs="Arial"/>
                <w:sz w:val="20"/>
                <w:szCs w:val="20"/>
                <w:lang w:val="en-GB"/>
              </w:rPr>
              <w:t>These are pecuniary and administrative sanctions.</w:t>
            </w:r>
          </w:p>
        </w:tc>
      </w:tr>
      <w:tr w:rsidR="00EF1F2C" w:rsidRPr="00C3537E" w14:paraId="3656D7F1" w14:textId="77777777" w:rsidTr="00EF1F2C">
        <w:tblPrEx>
          <w:shd w:val="clear" w:color="auto" w:fill="auto"/>
        </w:tblPrEx>
        <w:tc>
          <w:tcPr>
            <w:tcW w:w="3371" w:type="dxa"/>
            <w:tcBorders>
              <w:left w:val="nil"/>
            </w:tcBorders>
            <w:shd w:val="clear" w:color="auto" w:fill="F3DFC3"/>
          </w:tcPr>
          <w:p w14:paraId="679F4E4B" w14:textId="77777777" w:rsidR="00EF1F2C" w:rsidRPr="00C3537E" w:rsidRDefault="00EF1F2C" w:rsidP="00EF1F2C">
            <w:pPr>
              <w:numPr>
                <w:ilvl w:val="0"/>
                <w:numId w:val="20"/>
              </w:numPr>
              <w:spacing w:before="120" w:after="120"/>
              <w:rPr>
                <w:rFonts w:ascii="Arial" w:hAnsi="Arial" w:cs="Arial"/>
                <w:b/>
                <w:bCs/>
                <w:sz w:val="20"/>
                <w:lang w:val="en-GB"/>
              </w:rPr>
            </w:pPr>
            <w:r w:rsidRPr="00C3537E">
              <w:rPr>
                <w:rFonts w:ascii="Arial" w:hAnsi="Arial" w:cs="Arial"/>
                <w:b/>
                <w:bCs/>
                <w:sz w:val="20"/>
                <w:lang w:val="en-GB"/>
              </w:rPr>
              <w:t>On whom can procedural sanctions be imposed?</w:t>
            </w:r>
          </w:p>
        </w:tc>
        <w:tc>
          <w:tcPr>
            <w:tcW w:w="5665" w:type="dxa"/>
            <w:tcBorders>
              <w:right w:val="nil"/>
            </w:tcBorders>
          </w:tcPr>
          <w:p w14:paraId="658B916C" w14:textId="77777777" w:rsidR="00EF1F2C" w:rsidRPr="00C3537E" w:rsidRDefault="00EF1F2C" w:rsidP="00EF1F2C">
            <w:pPr>
              <w:spacing w:before="120"/>
              <w:jc w:val="both"/>
              <w:rPr>
                <w:rFonts w:ascii="Arial" w:hAnsi="Arial" w:cs="Arial"/>
                <w:lang w:val="en-GB"/>
              </w:rPr>
            </w:pPr>
            <w:r>
              <w:rPr>
                <w:rFonts w:ascii="Arial" w:hAnsi="Arial" w:cs="Arial"/>
                <w:sz w:val="20"/>
                <w:szCs w:val="20"/>
                <w:lang w:val="en-GB"/>
              </w:rPr>
              <w:t>Sanctions can be imposed to legal persons (</w:t>
            </w:r>
            <w:r w:rsidR="00002661">
              <w:rPr>
                <w:rFonts w:ascii="Arial" w:hAnsi="Arial" w:cs="Arial"/>
                <w:sz w:val="20"/>
                <w:szCs w:val="20"/>
              </w:rPr>
              <w:t xml:space="preserve">Point </w:t>
            </w:r>
            <w:r w:rsidR="00002661" w:rsidRPr="0014740D">
              <w:rPr>
                <w:rFonts w:ascii="Arial" w:hAnsi="Arial" w:cs="Arial"/>
                <w:sz w:val="20"/>
                <w:szCs w:val="20"/>
              </w:rPr>
              <w:t xml:space="preserve">15 </w:t>
            </w:r>
            <w:r w:rsidR="00002661">
              <w:rPr>
                <w:rFonts w:ascii="Arial" w:hAnsi="Arial" w:cs="Arial"/>
                <w:sz w:val="20"/>
                <w:szCs w:val="20"/>
              </w:rPr>
              <w:t>of</w:t>
            </w:r>
            <w:r w:rsidR="00973C61">
              <w:rPr>
                <w:rFonts w:ascii="Arial" w:hAnsi="Arial" w:cs="Arial"/>
                <w:sz w:val="20"/>
                <w:szCs w:val="20"/>
              </w:rPr>
              <w:t xml:space="preserve"> </w:t>
            </w:r>
            <w:r w:rsidR="00002661">
              <w:rPr>
                <w:rFonts w:ascii="Arial" w:hAnsi="Arial" w:cs="Arial"/>
                <w:sz w:val="20"/>
                <w:szCs w:val="20"/>
              </w:rPr>
              <w:t xml:space="preserve">Article </w:t>
            </w:r>
            <w:r w:rsidR="00002661" w:rsidRPr="0014740D">
              <w:rPr>
                <w:rFonts w:ascii="Arial" w:hAnsi="Arial" w:cs="Arial"/>
                <w:sz w:val="20"/>
                <w:szCs w:val="20"/>
              </w:rPr>
              <w:t xml:space="preserve">4 </w:t>
            </w:r>
            <w:r w:rsidR="00002661">
              <w:rPr>
                <w:rFonts w:ascii="Arial" w:hAnsi="Arial" w:cs="Arial"/>
                <w:sz w:val="20"/>
                <w:szCs w:val="20"/>
              </w:rPr>
              <w:t>of the</w:t>
            </w:r>
            <w:r w:rsidR="00002661" w:rsidRPr="0014740D">
              <w:rPr>
                <w:rFonts w:ascii="Arial" w:hAnsi="Arial" w:cs="Arial"/>
                <w:sz w:val="20"/>
                <w:szCs w:val="20"/>
              </w:rPr>
              <w:t xml:space="preserve"> Decr</w:t>
            </w:r>
            <w:r w:rsidR="00002661">
              <w:rPr>
                <w:rFonts w:ascii="Arial" w:hAnsi="Arial" w:cs="Arial"/>
                <w:sz w:val="20"/>
                <w:szCs w:val="20"/>
              </w:rPr>
              <w:t>e</w:t>
            </w:r>
            <w:r w:rsidR="00002661" w:rsidRPr="0014740D">
              <w:rPr>
                <w:rFonts w:ascii="Arial" w:hAnsi="Arial" w:cs="Arial"/>
                <w:sz w:val="20"/>
                <w:szCs w:val="20"/>
              </w:rPr>
              <w:t>e</w:t>
            </w:r>
            <w:r w:rsidR="00973C61">
              <w:rPr>
                <w:rFonts w:ascii="Arial" w:hAnsi="Arial" w:cs="Arial"/>
                <w:sz w:val="20"/>
                <w:szCs w:val="20"/>
              </w:rPr>
              <w:t xml:space="preserve"> </w:t>
            </w:r>
            <w:r w:rsidR="00002661" w:rsidRPr="0014740D">
              <w:rPr>
                <w:rFonts w:ascii="Arial" w:hAnsi="Arial" w:cs="Arial"/>
                <w:sz w:val="20"/>
                <w:szCs w:val="20"/>
              </w:rPr>
              <w:t xml:space="preserve">2153 </w:t>
            </w:r>
            <w:r w:rsidR="00002661">
              <w:rPr>
                <w:rFonts w:ascii="Arial" w:hAnsi="Arial" w:cs="Arial"/>
                <w:sz w:val="20"/>
                <w:szCs w:val="20"/>
              </w:rPr>
              <w:t>of</w:t>
            </w:r>
            <w:r w:rsidR="00002661" w:rsidRPr="0014740D">
              <w:rPr>
                <w:rFonts w:ascii="Arial" w:hAnsi="Arial" w:cs="Arial"/>
                <w:sz w:val="20"/>
                <w:szCs w:val="20"/>
              </w:rPr>
              <w:t xml:space="preserve"> 1992 </w:t>
            </w:r>
            <w:r w:rsidR="00002661">
              <w:rPr>
                <w:rFonts w:ascii="Arial" w:hAnsi="Arial" w:cs="Arial"/>
                <w:sz w:val="20"/>
                <w:szCs w:val="20"/>
              </w:rPr>
              <w:t>modified by the</w:t>
            </w:r>
            <w:r w:rsidR="00973C61">
              <w:rPr>
                <w:rFonts w:ascii="Arial" w:hAnsi="Arial" w:cs="Arial"/>
                <w:sz w:val="20"/>
                <w:szCs w:val="20"/>
              </w:rPr>
              <w:t xml:space="preserve"> </w:t>
            </w:r>
            <w:r>
              <w:rPr>
                <w:rFonts w:ascii="Arial" w:hAnsi="Arial" w:cs="Arial"/>
                <w:sz w:val="20"/>
                <w:szCs w:val="20"/>
                <w:lang w:val="en-GB"/>
              </w:rPr>
              <w:t>article 25 of Law 1340) and natural persons (</w:t>
            </w:r>
            <w:r w:rsidR="00002661">
              <w:rPr>
                <w:rFonts w:ascii="Arial" w:hAnsi="Arial" w:cs="Arial"/>
                <w:sz w:val="20"/>
                <w:szCs w:val="20"/>
              </w:rPr>
              <w:t xml:space="preserve">Point </w:t>
            </w:r>
            <w:r w:rsidR="00002661" w:rsidRPr="0014740D">
              <w:rPr>
                <w:rFonts w:ascii="Arial" w:hAnsi="Arial" w:cs="Arial"/>
                <w:sz w:val="20"/>
                <w:szCs w:val="20"/>
              </w:rPr>
              <w:t>1</w:t>
            </w:r>
            <w:r w:rsidR="00002661">
              <w:rPr>
                <w:rFonts w:ascii="Arial" w:hAnsi="Arial" w:cs="Arial"/>
                <w:sz w:val="20"/>
                <w:szCs w:val="20"/>
              </w:rPr>
              <w:t>6</w:t>
            </w:r>
            <w:r w:rsidR="00973C61">
              <w:rPr>
                <w:rFonts w:ascii="Arial" w:hAnsi="Arial" w:cs="Arial"/>
                <w:sz w:val="20"/>
                <w:szCs w:val="20"/>
              </w:rPr>
              <w:t xml:space="preserve"> </w:t>
            </w:r>
            <w:r w:rsidR="00002661">
              <w:rPr>
                <w:rFonts w:ascii="Arial" w:hAnsi="Arial" w:cs="Arial"/>
                <w:sz w:val="20"/>
                <w:szCs w:val="20"/>
              </w:rPr>
              <w:t>of</w:t>
            </w:r>
            <w:r w:rsidR="00973C61">
              <w:rPr>
                <w:rFonts w:ascii="Arial" w:hAnsi="Arial" w:cs="Arial"/>
                <w:sz w:val="20"/>
                <w:szCs w:val="20"/>
              </w:rPr>
              <w:t xml:space="preserve"> </w:t>
            </w:r>
            <w:r w:rsidR="00002661">
              <w:rPr>
                <w:rFonts w:ascii="Arial" w:hAnsi="Arial" w:cs="Arial"/>
                <w:sz w:val="20"/>
                <w:szCs w:val="20"/>
              </w:rPr>
              <w:t xml:space="preserve">Article </w:t>
            </w:r>
            <w:r w:rsidR="00002661" w:rsidRPr="0014740D">
              <w:rPr>
                <w:rFonts w:ascii="Arial" w:hAnsi="Arial" w:cs="Arial"/>
                <w:sz w:val="20"/>
                <w:szCs w:val="20"/>
              </w:rPr>
              <w:t xml:space="preserve">4 </w:t>
            </w:r>
            <w:r w:rsidR="00002661">
              <w:rPr>
                <w:rFonts w:ascii="Arial" w:hAnsi="Arial" w:cs="Arial"/>
                <w:sz w:val="20"/>
                <w:szCs w:val="20"/>
              </w:rPr>
              <w:t>of the</w:t>
            </w:r>
            <w:r w:rsidR="00002661" w:rsidRPr="0014740D">
              <w:rPr>
                <w:rFonts w:ascii="Arial" w:hAnsi="Arial" w:cs="Arial"/>
                <w:sz w:val="20"/>
                <w:szCs w:val="20"/>
              </w:rPr>
              <w:t xml:space="preserve"> Decr</w:t>
            </w:r>
            <w:r w:rsidR="00002661">
              <w:rPr>
                <w:rFonts w:ascii="Arial" w:hAnsi="Arial" w:cs="Arial"/>
                <w:sz w:val="20"/>
                <w:szCs w:val="20"/>
              </w:rPr>
              <w:t>e</w:t>
            </w:r>
            <w:r w:rsidR="00002661" w:rsidRPr="0014740D">
              <w:rPr>
                <w:rFonts w:ascii="Arial" w:hAnsi="Arial" w:cs="Arial"/>
                <w:sz w:val="20"/>
                <w:szCs w:val="20"/>
              </w:rPr>
              <w:t xml:space="preserve">e2153 </w:t>
            </w:r>
            <w:r w:rsidR="00002661">
              <w:rPr>
                <w:rFonts w:ascii="Arial" w:hAnsi="Arial" w:cs="Arial"/>
                <w:sz w:val="20"/>
                <w:szCs w:val="20"/>
              </w:rPr>
              <w:t>of</w:t>
            </w:r>
            <w:r w:rsidR="00002661" w:rsidRPr="0014740D">
              <w:rPr>
                <w:rFonts w:ascii="Arial" w:hAnsi="Arial" w:cs="Arial"/>
                <w:sz w:val="20"/>
                <w:szCs w:val="20"/>
              </w:rPr>
              <w:t xml:space="preserve"> 1992 </w:t>
            </w:r>
            <w:r w:rsidR="00002661">
              <w:rPr>
                <w:rFonts w:ascii="Arial" w:hAnsi="Arial" w:cs="Arial"/>
                <w:sz w:val="20"/>
                <w:szCs w:val="20"/>
              </w:rPr>
              <w:t>modified by the</w:t>
            </w:r>
            <w:r w:rsidR="00973C61">
              <w:rPr>
                <w:rFonts w:ascii="Arial" w:hAnsi="Arial" w:cs="Arial"/>
                <w:sz w:val="20"/>
                <w:szCs w:val="20"/>
              </w:rPr>
              <w:t xml:space="preserve"> </w:t>
            </w:r>
            <w:r>
              <w:rPr>
                <w:rFonts w:ascii="Arial" w:hAnsi="Arial" w:cs="Arial"/>
                <w:sz w:val="20"/>
                <w:szCs w:val="20"/>
                <w:lang w:val="en-GB"/>
              </w:rPr>
              <w:t>article 26 of Law 1340).</w:t>
            </w:r>
          </w:p>
        </w:tc>
      </w:tr>
      <w:tr w:rsidR="00EF1F2C" w:rsidRPr="00C3537E" w14:paraId="515EA507" w14:textId="77777777" w:rsidTr="00EF1F2C">
        <w:tblPrEx>
          <w:shd w:val="clear" w:color="auto" w:fill="auto"/>
        </w:tblPrEx>
        <w:tc>
          <w:tcPr>
            <w:tcW w:w="3371" w:type="dxa"/>
            <w:tcBorders>
              <w:left w:val="nil"/>
            </w:tcBorders>
            <w:shd w:val="clear" w:color="auto" w:fill="F3DFC3"/>
          </w:tcPr>
          <w:p w14:paraId="3CA70E1F" w14:textId="77777777" w:rsidR="00EF1F2C" w:rsidRPr="00C3537E" w:rsidRDefault="00EF1F2C" w:rsidP="00EF1F2C">
            <w:pPr>
              <w:numPr>
                <w:ilvl w:val="0"/>
                <w:numId w:val="20"/>
              </w:numPr>
              <w:spacing w:before="120" w:after="120"/>
              <w:rPr>
                <w:rFonts w:ascii="Arial" w:hAnsi="Arial" w:cs="Arial"/>
                <w:b/>
                <w:bCs/>
                <w:sz w:val="20"/>
                <w:lang w:val="en-GB"/>
              </w:rPr>
            </w:pPr>
            <w:r w:rsidRPr="00C3537E">
              <w:rPr>
                <w:rFonts w:ascii="Arial" w:hAnsi="Arial" w:cs="Arial"/>
                <w:b/>
                <w:bCs/>
                <w:sz w:val="20"/>
                <w:lang w:val="en-GB"/>
              </w:rPr>
              <w:t>Criteria for determining the sanction / fine:</w:t>
            </w:r>
          </w:p>
        </w:tc>
        <w:tc>
          <w:tcPr>
            <w:tcW w:w="5665" w:type="dxa"/>
            <w:tcBorders>
              <w:right w:val="nil"/>
            </w:tcBorders>
          </w:tcPr>
          <w:p w14:paraId="6FD57F5E" w14:textId="3351C24C" w:rsidR="00EF1F2C" w:rsidRDefault="00EF1F2C" w:rsidP="00EF1F2C">
            <w:pPr>
              <w:jc w:val="both"/>
              <w:rPr>
                <w:rFonts w:ascii="Arial" w:hAnsi="Arial" w:cs="Arial"/>
                <w:sz w:val="20"/>
                <w:szCs w:val="20"/>
                <w:lang w:val="en-GB"/>
              </w:rPr>
            </w:pPr>
            <w:r>
              <w:rPr>
                <w:rFonts w:ascii="Arial" w:hAnsi="Arial" w:cs="Arial"/>
                <w:sz w:val="20"/>
                <w:szCs w:val="20"/>
                <w:lang w:val="en-GB"/>
              </w:rPr>
              <w:t>The provisions regarding imposition of sanctions are the same in the event of a</w:t>
            </w:r>
            <w:r w:rsidR="00002661">
              <w:rPr>
                <w:rFonts w:ascii="Arial" w:hAnsi="Arial" w:cs="Arial"/>
                <w:sz w:val="20"/>
                <w:szCs w:val="20"/>
                <w:lang w:val="en-GB"/>
              </w:rPr>
              <w:t xml:space="preserve">n anticompetitive conducts </w:t>
            </w:r>
            <w:r>
              <w:rPr>
                <w:rFonts w:ascii="Arial" w:hAnsi="Arial" w:cs="Arial"/>
                <w:sz w:val="20"/>
                <w:szCs w:val="20"/>
                <w:lang w:val="en-GB"/>
              </w:rPr>
              <w:t xml:space="preserve">or procedural breaches. Therefore, the criteria for imposing sanctions does not change for any infringement. </w:t>
            </w:r>
          </w:p>
          <w:p w14:paraId="6C843D9F" w14:textId="77777777" w:rsidR="00EF1F2C" w:rsidRDefault="00EF1F2C" w:rsidP="00EF1F2C">
            <w:pPr>
              <w:jc w:val="both"/>
              <w:rPr>
                <w:rFonts w:ascii="Arial" w:hAnsi="Arial" w:cs="Arial"/>
                <w:sz w:val="20"/>
                <w:szCs w:val="20"/>
                <w:lang w:val="en-GB"/>
              </w:rPr>
            </w:pPr>
          </w:p>
          <w:p w14:paraId="283CDBFF" w14:textId="77777777" w:rsidR="00EF1F2C" w:rsidRDefault="00EF1F2C" w:rsidP="00EF1F2C">
            <w:pPr>
              <w:spacing w:before="120"/>
              <w:jc w:val="both"/>
              <w:rPr>
                <w:rFonts w:ascii="Arial" w:hAnsi="Arial" w:cs="Arial"/>
                <w:sz w:val="20"/>
                <w:lang w:val="en-GB"/>
              </w:rPr>
            </w:pPr>
            <w:r w:rsidRPr="00E822CD">
              <w:rPr>
                <w:rFonts w:ascii="Arial" w:hAnsi="Arial" w:cs="Arial"/>
                <w:sz w:val="20"/>
                <w:lang w:val="en-GB"/>
              </w:rPr>
              <w:t>What is certain is that the law allows taking into account the good or bad procedural behaviour to mitigate or aggravate the fine.</w:t>
            </w:r>
          </w:p>
          <w:p w14:paraId="41D09A61"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t xml:space="preserve">In accordance with article 25 of Law 1340 of 2009 the criteria to graduate the sanction </w:t>
            </w:r>
            <w:r>
              <w:rPr>
                <w:rFonts w:ascii="Arial" w:hAnsi="Arial" w:cs="Arial"/>
                <w:sz w:val="20"/>
                <w:lang w:val="en-GB"/>
              </w:rPr>
              <w:t xml:space="preserve">to legal persons </w:t>
            </w:r>
            <w:r w:rsidRPr="00061C5A">
              <w:rPr>
                <w:rFonts w:ascii="Arial" w:hAnsi="Arial" w:cs="Arial"/>
                <w:sz w:val="20"/>
                <w:lang w:val="en-GB"/>
              </w:rPr>
              <w:t>are the following:</w:t>
            </w:r>
          </w:p>
          <w:p w14:paraId="7ABF65C8" w14:textId="77777777" w:rsidR="00EF1F2C" w:rsidRPr="00061C5A" w:rsidRDefault="00EF1F2C" w:rsidP="00EF1F2C">
            <w:pPr>
              <w:spacing w:before="120"/>
              <w:jc w:val="both"/>
              <w:rPr>
                <w:rFonts w:ascii="Arial" w:hAnsi="Arial" w:cs="Arial"/>
                <w:sz w:val="20"/>
                <w:lang w:val="en-GB"/>
              </w:rPr>
            </w:pPr>
          </w:p>
          <w:p w14:paraId="1BB0B51A"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t>1. The impact that the behaviour has on the market.</w:t>
            </w:r>
          </w:p>
          <w:p w14:paraId="65205B45"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t>2. The size of the affected market.</w:t>
            </w:r>
          </w:p>
          <w:p w14:paraId="255A4215"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t>3. The benefit obtained by the offender with the behaviour.</w:t>
            </w:r>
          </w:p>
          <w:p w14:paraId="12A5D535"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t>4. The degree of participation of the offender.</w:t>
            </w:r>
          </w:p>
          <w:p w14:paraId="7EF100DB"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t xml:space="preserve">5. The procedural conduct of the party under investigation </w:t>
            </w:r>
          </w:p>
          <w:p w14:paraId="7EBAD102" w14:textId="77777777" w:rsidR="00EF1F2C" w:rsidRPr="00061C5A" w:rsidRDefault="00EF1F2C" w:rsidP="00EF1F2C">
            <w:pPr>
              <w:spacing w:before="120"/>
              <w:jc w:val="both"/>
              <w:rPr>
                <w:rFonts w:ascii="Arial" w:hAnsi="Arial" w:cs="Arial"/>
                <w:sz w:val="20"/>
                <w:lang w:val="en-GB"/>
              </w:rPr>
            </w:pPr>
            <w:r w:rsidRPr="00061C5A">
              <w:rPr>
                <w:rFonts w:ascii="Arial" w:hAnsi="Arial" w:cs="Arial"/>
                <w:sz w:val="20"/>
                <w:lang w:val="en-GB"/>
              </w:rPr>
              <w:lastRenderedPageBreak/>
              <w:t>6. The market share of the infringing company, as well as the part of its assets and / or its sales involved in the infringement.</w:t>
            </w:r>
          </w:p>
          <w:p w14:paraId="5FF138E1" w14:textId="77777777" w:rsidR="00EF1F2C" w:rsidRDefault="00EF1F2C" w:rsidP="00EF1F2C">
            <w:pPr>
              <w:spacing w:before="120"/>
              <w:jc w:val="both"/>
              <w:rPr>
                <w:rFonts w:ascii="Arial" w:hAnsi="Arial" w:cs="Arial"/>
                <w:sz w:val="20"/>
                <w:lang w:val="en-GB"/>
              </w:rPr>
            </w:pPr>
            <w:r w:rsidRPr="00061C5A">
              <w:rPr>
                <w:rFonts w:ascii="Arial" w:hAnsi="Arial" w:cs="Arial"/>
                <w:sz w:val="20"/>
                <w:lang w:val="en-GB"/>
              </w:rPr>
              <w:t>7. The assets of the offender.</w:t>
            </w:r>
          </w:p>
          <w:p w14:paraId="441FF305" w14:textId="77777777" w:rsidR="00EF1F2C" w:rsidRDefault="00EF1F2C" w:rsidP="00EF1F2C">
            <w:pPr>
              <w:spacing w:before="120"/>
              <w:jc w:val="both"/>
              <w:rPr>
                <w:rFonts w:ascii="Arial" w:hAnsi="Arial" w:cs="Arial"/>
                <w:sz w:val="20"/>
                <w:lang w:val="en-GB"/>
              </w:rPr>
            </w:pPr>
          </w:p>
          <w:p w14:paraId="18BAD425" w14:textId="77777777" w:rsidR="00EF1F2C" w:rsidRDefault="00EF1F2C" w:rsidP="00EF1F2C">
            <w:pPr>
              <w:spacing w:before="120"/>
              <w:jc w:val="both"/>
              <w:rPr>
                <w:rFonts w:ascii="Arial" w:hAnsi="Arial" w:cs="Arial"/>
                <w:sz w:val="20"/>
                <w:lang w:val="en-GB"/>
              </w:rPr>
            </w:pPr>
            <w:r>
              <w:rPr>
                <w:rFonts w:ascii="Arial" w:hAnsi="Arial" w:cs="Arial"/>
                <w:sz w:val="20"/>
                <w:lang w:val="en-GB"/>
              </w:rPr>
              <w:t>On the other hand, in accordance with article 26 of Law 1340 of 2009 the criteria to graduate the sanction to natural persons are the following:</w:t>
            </w:r>
          </w:p>
          <w:p w14:paraId="5269544D" w14:textId="77777777" w:rsidR="00EF1F2C" w:rsidRDefault="00EF1F2C" w:rsidP="00EF1F2C">
            <w:pPr>
              <w:spacing w:before="120"/>
              <w:jc w:val="both"/>
              <w:rPr>
                <w:rFonts w:ascii="Arial" w:hAnsi="Arial" w:cs="Arial"/>
                <w:sz w:val="20"/>
                <w:lang w:val="en-GB"/>
              </w:rPr>
            </w:pPr>
          </w:p>
          <w:p w14:paraId="2DD3E50A" w14:textId="77777777" w:rsidR="00EF1F2C" w:rsidRPr="006B73AA" w:rsidRDefault="00EF1F2C" w:rsidP="00EF1F2C">
            <w:pPr>
              <w:pStyle w:val="Textoindependiente"/>
              <w:numPr>
                <w:ilvl w:val="1"/>
                <w:numId w:val="17"/>
              </w:numPr>
              <w:tabs>
                <w:tab w:val="clear" w:pos="1080"/>
              </w:tabs>
              <w:spacing w:after="0"/>
              <w:ind w:left="364"/>
              <w:jc w:val="both"/>
              <w:rPr>
                <w:rFonts w:ascii="Arial" w:hAnsi="Arial" w:cs="Arial"/>
                <w:sz w:val="20"/>
              </w:rPr>
            </w:pPr>
            <w:r w:rsidRPr="006B73AA">
              <w:rPr>
                <w:rFonts w:ascii="Arial" w:hAnsi="Arial" w:cs="Arial"/>
                <w:sz w:val="20"/>
              </w:rPr>
              <w:t>The persistence of the offending conduct.</w:t>
            </w:r>
          </w:p>
          <w:p w14:paraId="35068D05" w14:textId="77777777" w:rsidR="00EF1F2C" w:rsidRPr="006B73AA" w:rsidRDefault="00EF1F2C" w:rsidP="00EF1F2C">
            <w:pPr>
              <w:pStyle w:val="Textoindependiente"/>
              <w:numPr>
                <w:ilvl w:val="1"/>
                <w:numId w:val="17"/>
              </w:numPr>
              <w:tabs>
                <w:tab w:val="clear" w:pos="1080"/>
              </w:tabs>
              <w:spacing w:after="0"/>
              <w:ind w:left="364"/>
              <w:jc w:val="both"/>
              <w:rPr>
                <w:rFonts w:ascii="Arial" w:hAnsi="Arial" w:cs="Arial"/>
                <w:sz w:val="20"/>
              </w:rPr>
            </w:pPr>
            <w:r w:rsidRPr="006B73AA">
              <w:rPr>
                <w:rFonts w:ascii="Arial" w:hAnsi="Arial" w:cs="Arial"/>
                <w:sz w:val="20"/>
              </w:rPr>
              <w:t>The impact of the conduct in the market.</w:t>
            </w:r>
          </w:p>
          <w:p w14:paraId="575CD13B" w14:textId="77777777" w:rsidR="00EF1F2C" w:rsidRPr="006B73AA" w:rsidRDefault="00EF1F2C" w:rsidP="00EF1F2C">
            <w:pPr>
              <w:pStyle w:val="Textoindependiente"/>
              <w:numPr>
                <w:ilvl w:val="1"/>
                <w:numId w:val="17"/>
              </w:numPr>
              <w:tabs>
                <w:tab w:val="clear" w:pos="1080"/>
              </w:tabs>
              <w:spacing w:after="0"/>
              <w:ind w:left="364"/>
              <w:jc w:val="both"/>
              <w:rPr>
                <w:rFonts w:ascii="Arial" w:hAnsi="Arial" w:cs="Arial"/>
                <w:sz w:val="20"/>
              </w:rPr>
            </w:pPr>
            <w:r w:rsidRPr="006B73AA">
              <w:rPr>
                <w:rFonts w:ascii="Arial" w:hAnsi="Arial" w:cs="Arial"/>
                <w:sz w:val="20"/>
              </w:rPr>
              <w:t>The repetition of the prohibited conduct.</w:t>
            </w:r>
          </w:p>
          <w:p w14:paraId="1ED3AB2A" w14:textId="77777777" w:rsidR="00002661" w:rsidRDefault="00EF1F2C" w:rsidP="00002661">
            <w:pPr>
              <w:pStyle w:val="Textoindependiente"/>
              <w:numPr>
                <w:ilvl w:val="1"/>
                <w:numId w:val="17"/>
              </w:numPr>
              <w:tabs>
                <w:tab w:val="clear" w:pos="1080"/>
              </w:tabs>
              <w:spacing w:after="0"/>
              <w:ind w:left="364"/>
              <w:jc w:val="both"/>
              <w:rPr>
                <w:rFonts w:ascii="Arial" w:hAnsi="Arial" w:cs="Arial"/>
                <w:sz w:val="20"/>
              </w:rPr>
            </w:pPr>
            <w:r w:rsidRPr="006B73AA">
              <w:rPr>
                <w:rFonts w:ascii="Arial" w:hAnsi="Arial" w:cs="Arial"/>
                <w:sz w:val="20"/>
              </w:rPr>
              <w:t>The procedural conduct of the offender, and</w:t>
            </w:r>
          </w:p>
          <w:p w14:paraId="395A1EDC" w14:textId="77777777" w:rsidR="00EF1F2C" w:rsidRPr="00002661" w:rsidRDefault="00EF1F2C" w:rsidP="00002661">
            <w:pPr>
              <w:pStyle w:val="Textoindependiente"/>
              <w:numPr>
                <w:ilvl w:val="1"/>
                <w:numId w:val="17"/>
              </w:numPr>
              <w:tabs>
                <w:tab w:val="clear" w:pos="1080"/>
              </w:tabs>
              <w:spacing w:after="0"/>
              <w:ind w:left="364"/>
              <w:jc w:val="both"/>
              <w:rPr>
                <w:rFonts w:ascii="Arial" w:hAnsi="Arial" w:cs="Arial"/>
                <w:sz w:val="20"/>
              </w:rPr>
            </w:pPr>
            <w:r w:rsidRPr="00002661">
              <w:rPr>
                <w:rFonts w:ascii="Arial" w:hAnsi="Arial" w:cs="Arial"/>
                <w:sz w:val="20"/>
              </w:rPr>
              <w:t>The degree of participation of the offender.</w:t>
            </w:r>
          </w:p>
        </w:tc>
      </w:tr>
      <w:tr w:rsidR="00EF1F2C" w:rsidRPr="00C3537E" w14:paraId="536577A6" w14:textId="77777777" w:rsidTr="00EF1F2C">
        <w:tblPrEx>
          <w:shd w:val="clear" w:color="auto" w:fill="auto"/>
        </w:tblPrEx>
        <w:tc>
          <w:tcPr>
            <w:tcW w:w="3371" w:type="dxa"/>
            <w:tcBorders>
              <w:left w:val="nil"/>
            </w:tcBorders>
            <w:shd w:val="clear" w:color="auto" w:fill="F3DFC3"/>
          </w:tcPr>
          <w:p w14:paraId="36EDE5D8" w14:textId="77777777" w:rsidR="00EF1F2C" w:rsidRPr="00C3537E" w:rsidRDefault="00EF1F2C" w:rsidP="00EF1F2C">
            <w:pPr>
              <w:numPr>
                <w:ilvl w:val="0"/>
                <w:numId w:val="20"/>
              </w:numPr>
              <w:spacing w:before="120" w:after="120"/>
              <w:rPr>
                <w:rFonts w:ascii="Arial" w:hAnsi="Arial" w:cs="Arial"/>
                <w:b/>
                <w:bCs/>
                <w:sz w:val="20"/>
                <w:lang w:val="en-GB"/>
              </w:rPr>
            </w:pPr>
            <w:r w:rsidRPr="00C3537E">
              <w:rPr>
                <w:rFonts w:ascii="Arial" w:hAnsi="Arial" w:cs="Arial"/>
                <w:b/>
                <w:bCs/>
                <w:sz w:val="20"/>
                <w:lang w:val="en-GB"/>
              </w:rPr>
              <w:lastRenderedPageBreak/>
              <w:t>Are there maximum and / or minimum sanctions / fines?</w:t>
            </w:r>
          </w:p>
        </w:tc>
        <w:tc>
          <w:tcPr>
            <w:tcW w:w="5665" w:type="dxa"/>
            <w:tcBorders>
              <w:right w:val="nil"/>
            </w:tcBorders>
          </w:tcPr>
          <w:p w14:paraId="5F976350" w14:textId="784A564B" w:rsidR="00EF1F2C" w:rsidRPr="00AA06A2" w:rsidRDefault="00EF1F2C" w:rsidP="00EF1F2C">
            <w:pPr>
              <w:spacing w:before="120"/>
              <w:jc w:val="both"/>
              <w:rPr>
                <w:rFonts w:ascii="Arial" w:hAnsi="Arial" w:cs="Arial"/>
                <w:sz w:val="20"/>
                <w:szCs w:val="20"/>
              </w:rPr>
            </w:pPr>
            <w:r>
              <w:rPr>
                <w:rFonts w:ascii="Arial" w:hAnsi="Arial" w:cs="Arial"/>
                <w:sz w:val="20"/>
                <w:szCs w:val="20"/>
                <w:lang w:val="en-GB"/>
              </w:rPr>
              <w:t xml:space="preserve">Yes, they are. According to </w:t>
            </w:r>
            <w:r w:rsidR="00002661">
              <w:rPr>
                <w:rFonts w:ascii="Arial" w:hAnsi="Arial" w:cs="Arial"/>
                <w:sz w:val="20"/>
                <w:szCs w:val="20"/>
              </w:rPr>
              <w:t xml:space="preserve">Point </w:t>
            </w:r>
            <w:r w:rsidR="00002661" w:rsidRPr="0014740D">
              <w:rPr>
                <w:rFonts w:ascii="Arial" w:hAnsi="Arial" w:cs="Arial"/>
                <w:sz w:val="20"/>
                <w:szCs w:val="20"/>
              </w:rPr>
              <w:t xml:space="preserve">15 </w:t>
            </w:r>
            <w:r w:rsidR="00002661">
              <w:rPr>
                <w:rFonts w:ascii="Arial" w:hAnsi="Arial" w:cs="Arial"/>
                <w:sz w:val="20"/>
                <w:szCs w:val="20"/>
              </w:rPr>
              <w:t>of</w:t>
            </w:r>
            <w:r w:rsidR="00973C61">
              <w:rPr>
                <w:rFonts w:ascii="Arial" w:hAnsi="Arial" w:cs="Arial"/>
                <w:sz w:val="20"/>
                <w:szCs w:val="20"/>
              </w:rPr>
              <w:t xml:space="preserve"> </w:t>
            </w:r>
            <w:r w:rsidR="00002661">
              <w:rPr>
                <w:rFonts w:ascii="Arial" w:hAnsi="Arial" w:cs="Arial"/>
                <w:sz w:val="20"/>
                <w:szCs w:val="20"/>
              </w:rPr>
              <w:t xml:space="preserve">Article </w:t>
            </w:r>
            <w:r w:rsidR="00002661" w:rsidRPr="0014740D">
              <w:rPr>
                <w:rFonts w:ascii="Arial" w:hAnsi="Arial" w:cs="Arial"/>
                <w:sz w:val="20"/>
                <w:szCs w:val="20"/>
              </w:rPr>
              <w:t xml:space="preserve">4 </w:t>
            </w:r>
            <w:r w:rsidR="00002661">
              <w:rPr>
                <w:rFonts w:ascii="Arial" w:hAnsi="Arial" w:cs="Arial"/>
                <w:sz w:val="20"/>
                <w:szCs w:val="20"/>
              </w:rPr>
              <w:t>of the</w:t>
            </w:r>
            <w:r w:rsidR="00002661" w:rsidRPr="0014740D">
              <w:rPr>
                <w:rFonts w:ascii="Arial" w:hAnsi="Arial" w:cs="Arial"/>
                <w:sz w:val="20"/>
                <w:szCs w:val="20"/>
              </w:rPr>
              <w:t xml:space="preserve"> Decr</w:t>
            </w:r>
            <w:r w:rsidR="00002661">
              <w:rPr>
                <w:rFonts w:ascii="Arial" w:hAnsi="Arial" w:cs="Arial"/>
                <w:sz w:val="20"/>
                <w:szCs w:val="20"/>
              </w:rPr>
              <w:t>e</w:t>
            </w:r>
            <w:r w:rsidR="00002661" w:rsidRPr="0014740D">
              <w:rPr>
                <w:rFonts w:ascii="Arial" w:hAnsi="Arial" w:cs="Arial"/>
                <w:sz w:val="20"/>
                <w:szCs w:val="20"/>
              </w:rPr>
              <w:t>e</w:t>
            </w:r>
            <w:r w:rsidR="00973C61">
              <w:rPr>
                <w:rFonts w:ascii="Arial" w:hAnsi="Arial" w:cs="Arial"/>
                <w:sz w:val="20"/>
                <w:szCs w:val="20"/>
              </w:rPr>
              <w:t xml:space="preserve"> </w:t>
            </w:r>
            <w:r w:rsidR="00002661" w:rsidRPr="0014740D">
              <w:rPr>
                <w:rFonts w:ascii="Arial" w:hAnsi="Arial" w:cs="Arial"/>
                <w:sz w:val="20"/>
                <w:szCs w:val="20"/>
              </w:rPr>
              <w:t xml:space="preserve">2153 </w:t>
            </w:r>
            <w:r w:rsidR="00002661">
              <w:rPr>
                <w:rFonts w:ascii="Arial" w:hAnsi="Arial" w:cs="Arial"/>
                <w:sz w:val="20"/>
                <w:szCs w:val="20"/>
              </w:rPr>
              <w:t>of</w:t>
            </w:r>
            <w:r w:rsidR="00002661" w:rsidRPr="0014740D">
              <w:rPr>
                <w:rFonts w:ascii="Arial" w:hAnsi="Arial" w:cs="Arial"/>
                <w:sz w:val="20"/>
                <w:szCs w:val="20"/>
              </w:rPr>
              <w:t xml:space="preserve"> 1992 </w:t>
            </w:r>
            <w:r w:rsidR="00002661">
              <w:rPr>
                <w:rFonts w:ascii="Arial" w:hAnsi="Arial" w:cs="Arial"/>
                <w:sz w:val="20"/>
                <w:szCs w:val="20"/>
              </w:rPr>
              <w:t>modified by the</w:t>
            </w:r>
            <w:r w:rsidR="00973C61">
              <w:rPr>
                <w:rFonts w:ascii="Arial" w:hAnsi="Arial" w:cs="Arial"/>
                <w:sz w:val="20"/>
                <w:szCs w:val="20"/>
              </w:rPr>
              <w:t xml:space="preserve"> </w:t>
            </w:r>
            <w:r>
              <w:rPr>
                <w:rFonts w:ascii="Arial" w:hAnsi="Arial" w:cs="Arial"/>
                <w:sz w:val="20"/>
                <w:szCs w:val="20"/>
                <w:lang w:val="en-GB"/>
              </w:rPr>
              <w:t xml:space="preserve">Article 25 </w:t>
            </w:r>
            <w:r w:rsidRPr="00AA06A2">
              <w:rPr>
                <w:rFonts w:ascii="Arial" w:hAnsi="Arial" w:cs="Arial"/>
                <w:sz w:val="20"/>
                <w:szCs w:val="20"/>
                <w:lang w:val="en-GB"/>
              </w:rPr>
              <w:t xml:space="preserve">for legal persons the maximum sanction is up to </w:t>
            </w:r>
            <w:r w:rsidR="00223853">
              <w:rPr>
                <w:rFonts w:ascii="Arial" w:hAnsi="Arial" w:cs="Arial"/>
                <w:sz w:val="20"/>
                <w:szCs w:val="20"/>
                <w:lang w:val="en-GB"/>
              </w:rPr>
              <w:t>COP$ 87.780.300.000</w:t>
            </w:r>
            <w:r w:rsidR="00223853">
              <w:rPr>
                <w:rStyle w:val="Refdenotaalpie"/>
                <w:rFonts w:cs="Arial"/>
                <w:szCs w:val="20"/>
                <w:lang w:val="en-GB"/>
              </w:rPr>
              <w:footnoteReference w:id="13"/>
            </w:r>
            <w:r w:rsidR="00223853">
              <w:rPr>
                <w:rFonts w:ascii="Arial" w:hAnsi="Arial" w:cs="Arial"/>
                <w:sz w:val="20"/>
                <w:szCs w:val="20"/>
                <w:lang w:val="en-GB"/>
              </w:rPr>
              <w:t xml:space="preserve"> o</w:t>
            </w:r>
            <w:r w:rsidRPr="00AA06A2">
              <w:rPr>
                <w:rFonts w:ascii="Arial" w:hAnsi="Arial" w:cs="Arial"/>
                <w:sz w:val="20"/>
                <w:szCs w:val="20"/>
              </w:rPr>
              <w:t xml:space="preserve">r if more, up to 150% of the gross is profit of the conduct. </w:t>
            </w:r>
          </w:p>
          <w:p w14:paraId="4DC9D7B7" w14:textId="7805B269" w:rsidR="00EF1F2C" w:rsidRPr="00C3537E" w:rsidRDefault="00EF1F2C" w:rsidP="00EF1F2C">
            <w:pPr>
              <w:spacing w:before="120"/>
              <w:jc w:val="both"/>
              <w:rPr>
                <w:rFonts w:ascii="Arial" w:hAnsi="Arial" w:cs="Arial"/>
                <w:sz w:val="20"/>
                <w:lang w:val="en-GB"/>
              </w:rPr>
            </w:pPr>
            <w:r w:rsidRPr="00AA06A2">
              <w:rPr>
                <w:rFonts w:ascii="Arial" w:hAnsi="Arial" w:cs="Arial"/>
                <w:sz w:val="20"/>
                <w:szCs w:val="20"/>
              </w:rPr>
              <w:t xml:space="preserve">For natural persons, </w:t>
            </w:r>
            <w:r w:rsidR="00002661">
              <w:rPr>
                <w:rFonts w:ascii="Arial" w:hAnsi="Arial" w:cs="Arial"/>
                <w:sz w:val="20"/>
                <w:szCs w:val="20"/>
              </w:rPr>
              <w:t xml:space="preserve">according to point </w:t>
            </w:r>
            <w:r w:rsidR="00002661" w:rsidRPr="0014740D">
              <w:rPr>
                <w:rFonts w:ascii="Arial" w:hAnsi="Arial" w:cs="Arial"/>
                <w:sz w:val="20"/>
                <w:szCs w:val="20"/>
              </w:rPr>
              <w:t>1</w:t>
            </w:r>
            <w:r w:rsidR="00002661">
              <w:rPr>
                <w:rFonts w:ascii="Arial" w:hAnsi="Arial" w:cs="Arial"/>
                <w:sz w:val="20"/>
                <w:szCs w:val="20"/>
              </w:rPr>
              <w:t>6</w:t>
            </w:r>
            <w:r w:rsidR="00051C43">
              <w:rPr>
                <w:rFonts w:ascii="Arial" w:hAnsi="Arial" w:cs="Arial"/>
                <w:sz w:val="20"/>
                <w:szCs w:val="20"/>
              </w:rPr>
              <w:t xml:space="preserve"> </w:t>
            </w:r>
            <w:r w:rsidR="00002661">
              <w:rPr>
                <w:rFonts w:ascii="Arial" w:hAnsi="Arial" w:cs="Arial"/>
                <w:sz w:val="20"/>
                <w:szCs w:val="20"/>
              </w:rPr>
              <w:t>of</w:t>
            </w:r>
            <w:r w:rsidR="00051C43">
              <w:rPr>
                <w:rFonts w:ascii="Arial" w:hAnsi="Arial" w:cs="Arial"/>
                <w:sz w:val="20"/>
                <w:szCs w:val="20"/>
              </w:rPr>
              <w:t xml:space="preserve"> </w:t>
            </w:r>
            <w:r w:rsidR="00002661">
              <w:rPr>
                <w:rFonts w:ascii="Arial" w:hAnsi="Arial" w:cs="Arial"/>
                <w:sz w:val="20"/>
                <w:szCs w:val="20"/>
              </w:rPr>
              <w:t xml:space="preserve">Article </w:t>
            </w:r>
            <w:r w:rsidR="00002661" w:rsidRPr="0014740D">
              <w:rPr>
                <w:rFonts w:ascii="Arial" w:hAnsi="Arial" w:cs="Arial"/>
                <w:sz w:val="20"/>
                <w:szCs w:val="20"/>
              </w:rPr>
              <w:t xml:space="preserve">4 </w:t>
            </w:r>
            <w:r w:rsidR="00002661">
              <w:rPr>
                <w:rFonts w:ascii="Arial" w:hAnsi="Arial" w:cs="Arial"/>
                <w:sz w:val="20"/>
                <w:szCs w:val="20"/>
              </w:rPr>
              <w:t>of the</w:t>
            </w:r>
            <w:r w:rsidR="00002661" w:rsidRPr="0014740D">
              <w:rPr>
                <w:rFonts w:ascii="Arial" w:hAnsi="Arial" w:cs="Arial"/>
                <w:sz w:val="20"/>
                <w:szCs w:val="20"/>
              </w:rPr>
              <w:t xml:space="preserve"> Decr</w:t>
            </w:r>
            <w:r w:rsidR="00002661">
              <w:rPr>
                <w:rFonts w:ascii="Arial" w:hAnsi="Arial" w:cs="Arial"/>
                <w:sz w:val="20"/>
                <w:szCs w:val="20"/>
              </w:rPr>
              <w:t>e</w:t>
            </w:r>
            <w:r w:rsidR="00002661" w:rsidRPr="0014740D">
              <w:rPr>
                <w:rFonts w:ascii="Arial" w:hAnsi="Arial" w:cs="Arial"/>
                <w:sz w:val="20"/>
                <w:szCs w:val="20"/>
              </w:rPr>
              <w:t>e</w:t>
            </w:r>
            <w:r w:rsidR="00051C43">
              <w:rPr>
                <w:rFonts w:ascii="Arial" w:hAnsi="Arial" w:cs="Arial"/>
                <w:sz w:val="20"/>
                <w:szCs w:val="20"/>
              </w:rPr>
              <w:t xml:space="preserve"> </w:t>
            </w:r>
            <w:r w:rsidR="00002661" w:rsidRPr="0014740D">
              <w:rPr>
                <w:rFonts w:ascii="Arial" w:hAnsi="Arial" w:cs="Arial"/>
                <w:sz w:val="20"/>
                <w:szCs w:val="20"/>
              </w:rPr>
              <w:t xml:space="preserve">2153 </w:t>
            </w:r>
            <w:r w:rsidR="00002661">
              <w:rPr>
                <w:rFonts w:ascii="Arial" w:hAnsi="Arial" w:cs="Arial"/>
                <w:sz w:val="20"/>
                <w:szCs w:val="20"/>
              </w:rPr>
              <w:t>of</w:t>
            </w:r>
            <w:r w:rsidR="00002661" w:rsidRPr="0014740D">
              <w:rPr>
                <w:rFonts w:ascii="Arial" w:hAnsi="Arial" w:cs="Arial"/>
                <w:sz w:val="20"/>
                <w:szCs w:val="20"/>
              </w:rPr>
              <w:t xml:space="preserve"> 1992 </w:t>
            </w:r>
            <w:r w:rsidR="00002661">
              <w:rPr>
                <w:rFonts w:ascii="Arial" w:hAnsi="Arial" w:cs="Arial"/>
                <w:sz w:val="20"/>
                <w:szCs w:val="20"/>
              </w:rPr>
              <w:t>modified by the</w:t>
            </w:r>
            <w:r w:rsidR="00002661">
              <w:rPr>
                <w:rFonts w:ascii="Arial" w:hAnsi="Arial" w:cs="Arial"/>
                <w:sz w:val="20"/>
                <w:szCs w:val="20"/>
                <w:lang w:val="en-GB"/>
              </w:rPr>
              <w:t xml:space="preserve"> 26 of Law 1340 </w:t>
            </w:r>
            <w:r w:rsidRPr="00AA06A2">
              <w:rPr>
                <w:rFonts w:ascii="Arial" w:hAnsi="Arial" w:cs="Arial"/>
                <w:sz w:val="20"/>
                <w:szCs w:val="20"/>
              </w:rPr>
              <w:t xml:space="preserve">that sactions will be up to </w:t>
            </w:r>
            <w:r w:rsidR="00223853">
              <w:rPr>
                <w:rFonts w:ascii="Arial" w:hAnsi="Arial" w:cs="Arial"/>
                <w:sz w:val="20"/>
                <w:szCs w:val="20"/>
              </w:rPr>
              <w:t>COP$ 1.755.606.000</w:t>
            </w:r>
            <w:r w:rsidR="00223853">
              <w:rPr>
                <w:rStyle w:val="Refdenotaalpie"/>
                <w:rFonts w:cs="Arial"/>
                <w:szCs w:val="20"/>
              </w:rPr>
              <w:footnoteReference w:id="14"/>
            </w:r>
            <w:r w:rsidRPr="00AA06A2">
              <w:rPr>
                <w:rFonts w:ascii="Arial" w:hAnsi="Arial" w:cs="Arial"/>
                <w:sz w:val="20"/>
                <w:szCs w:val="20"/>
              </w:rPr>
              <w:t>.</w:t>
            </w:r>
          </w:p>
        </w:tc>
      </w:tr>
    </w:tbl>
    <w:p w14:paraId="76ABF1EB" w14:textId="77777777" w:rsidR="007B7C69" w:rsidRPr="00C3537E" w:rsidRDefault="007B7C69">
      <w:pPr>
        <w:pStyle w:val="Textoindependiente"/>
        <w:ind w:left="0"/>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97"/>
        <w:gridCol w:w="5639"/>
      </w:tblGrid>
      <w:tr w:rsidR="007B7C69" w:rsidRPr="00C3537E" w14:paraId="109B8EB4" w14:textId="77777777" w:rsidTr="00EF1F2C">
        <w:tc>
          <w:tcPr>
            <w:tcW w:w="9036" w:type="dxa"/>
            <w:gridSpan w:val="2"/>
            <w:shd w:val="clear" w:color="auto" w:fill="61243B"/>
          </w:tcPr>
          <w:p w14:paraId="3D6CC3AD" w14:textId="77777777" w:rsidR="007B7C69" w:rsidRPr="00C3537E" w:rsidRDefault="007B7C69">
            <w:pPr>
              <w:pStyle w:val="Ttulo1"/>
              <w:spacing w:before="240"/>
              <w:rPr>
                <w:rFonts w:ascii="Arial" w:hAnsi="Arial" w:cs="Arial"/>
                <w:color w:val="FFFFFF"/>
                <w:sz w:val="28"/>
                <w:lang w:val="en-GB"/>
              </w:rPr>
            </w:pPr>
            <w:r w:rsidRPr="00C3537E">
              <w:rPr>
                <w:rFonts w:ascii="Arial" w:hAnsi="Arial" w:cs="Arial"/>
                <w:color w:val="FFFFFF"/>
                <w:sz w:val="28"/>
                <w:lang w:val="en-GB"/>
              </w:rPr>
              <w:t>Sanctions on the merits of the case</w:t>
            </w:r>
          </w:p>
        </w:tc>
      </w:tr>
      <w:tr w:rsidR="00EF1F2C" w:rsidRPr="00C3537E" w14:paraId="201E543A" w14:textId="77777777" w:rsidTr="00EF1F2C">
        <w:tblPrEx>
          <w:shd w:val="clear" w:color="auto" w:fill="auto"/>
        </w:tblPrEx>
        <w:tc>
          <w:tcPr>
            <w:tcW w:w="3397" w:type="dxa"/>
            <w:tcBorders>
              <w:left w:val="nil"/>
              <w:bottom w:val="single" w:sz="4" w:space="0" w:color="auto"/>
            </w:tcBorders>
            <w:shd w:val="clear" w:color="auto" w:fill="F3DFC3"/>
          </w:tcPr>
          <w:p w14:paraId="3ABE547A" w14:textId="77777777" w:rsidR="00EF1F2C" w:rsidRPr="00C3537E" w:rsidRDefault="00EF1F2C" w:rsidP="00EF1F2C">
            <w:pPr>
              <w:numPr>
                <w:ilvl w:val="0"/>
                <w:numId w:val="19"/>
              </w:numPr>
              <w:spacing w:before="120" w:after="120"/>
              <w:rPr>
                <w:rFonts w:ascii="Arial" w:hAnsi="Arial" w:cs="Arial"/>
                <w:b/>
                <w:bCs/>
                <w:sz w:val="20"/>
                <w:lang w:val="en-GB"/>
              </w:rPr>
            </w:pPr>
            <w:r w:rsidRPr="00C3537E">
              <w:rPr>
                <w:rFonts w:ascii="Arial" w:hAnsi="Arial" w:cs="Arial"/>
                <w:b/>
                <w:bCs/>
                <w:sz w:val="20"/>
                <w:lang w:val="en-GB"/>
              </w:rPr>
              <w:t>Type and nature of sanctions in cartel cases (civil, administrative, criminal, combined):</w:t>
            </w:r>
          </w:p>
          <w:p w14:paraId="32BB91EE" w14:textId="77777777" w:rsidR="00EF1F2C" w:rsidRPr="00C3537E" w:rsidRDefault="00EF1F2C" w:rsidP="00EF1F2C">
            <w:pPr>
              <w:spacing w:before="120" w:after="120"/>
              <w:ind w:left="360"/>
              <w:rPr>
                <w:rFonts w:ascii="Arial" w:hAnsi="Arial" w:cs="Arial"/>
                <w:b/>
                <w:bCs/>
                <w:sz w:val="20"/>
                <w:lang w:val="en-GB"/>
              </w:rPr>
            </w:pPr>
            <w:r w:rsidRPr="00C3537E">
              <w:rPr>
                <w:rFonts w:ascii="Arial" w:hAnsi="Arial" w:cs="Arial"/>
                <w:b/>
                <w:bCs/>
                <w:sz w:val="20"/>
                <w:lang w:val="en-GB"/>
              </w:rPr>
              <w:t>On whom can sanctions be imposed? [E.g.: representatives of businesses, (imprisonment for individuals), businesses, in the case of associations of companies the associations or the individual companies?]</w:t>
            </w:r>
          </w:p>
        </w:tc>
        <w:tc>
          <w:tcPr>
            <w:tcW w:w="5639" w:type="dxa"/>
            <w:tcBorders>
              <w:right w:val="nil"/>
            </w:tcBorders>
          </w:tcPr>
          <w:p w14:paraId="60DA277C" w14:textId="77777777" w:rsidR="00EF1F2C" w:rsidRDefault="00EF1F2C" w:rsidP="00EF1F2C">
            <w:pPr>
              <w:spacing w:before="120"/>
              <w:jc w:val="both"/>
              <w:rPr>
                <w:rFonts w:ascii="Arial" w:hAnsi="Arial" w:cs="Arial"/>
                <w:sz w:val="20"/>
                <w:szCs w:val="20"/>
                <w:lang w:val="en-GB"/>
              </w:rPr>
            </w:pPr>
            <w:r>
              <w:rPr>
                <w:rFonts w:ascii="Arial" w:hAnsi="Arial" w:cs="Arial"/>
                <w:sz w:val="20"/>
                <w:szCs w:val="20"/>
                <w:lang w:val="en-GB"/>
              </w:rPr>
              <w:t xml:space="preserve">Sanctions in cartel cases have an administrative nature. </w:t>
            </w:r>
          </w:p>
          <w:p w14:paraId="2C299996" w14:textId="77777777" w:rsidR="00EF1F2C" w:rsidRDefault="00EF1F2C" w:rsidP="00EF1F2C">
            <w:pPr>
              <w:spacing w:before="120"/>
              <w:jc w:val="both"/>
              <w:rPr>
                <w:rFonts w:ascii="Arial" w:hAnsi="Arial" w:cs="Arial"/>
                <w:sz w:val="20"/>
                <w:szCs w:val="20"/>
                <w:lang w:val="en-GB"/>
              </w:rPr>
            </w:pPr>
            <w:r>
              <w:rPr>
                <w:rFonts w:ascii="Arial" w:hAnsi="Arial" w:cs="Arial"/>
                <w:sz w:val="20"/>
                <w:szCs w:val="20"/>
                <w:lang w:val="en-GB"/>
              </w:rPr>
              <w:t xml:space="preserve">They can be imposed to legal persons (article 25 of Law 1340) and natural persons (article 26 of Law 1340). Both of them are pecuniary sanctions (only bid rigging may have criminal sanctions, but such penalties are not imposed by the SIC but by the </w:t>
            </w:r>
            <w:r w:rsidRPr="00A4781F">
              <w:rPr>
                <w:rFonts w:ascii="Arial" w:hAnsi="Arial" w:cs="Arial"/>
                <w:sz w:val="20"/>
                <w:szCs w:val="20"/>
                <w:lang w:val="en-GB"/>
              </w:rPr>
              <w:t>Attorney General's Office</w:t>
            </w:r>
            <w:r>
              <w:rPr>
                <w:rFonts w:ascii="Arial" w:hAnsi="Arial" w:cs="Arial"/>
                <w:sz w:val="20"/>
                <w:szCs w:val="20"/>
                <w:lang w:val="en-GB"/>
              </w:rPr>
              <w:t xml:space="preserve">). </w:t>
            </w:r>
          </w:p>
          <w:p w14:paraId="52F5EBA7" w14:textId="77777777" w:rsidR="00EF1F2C" w:rsidRDefault="00EF1F2C" w:rsidP="00EF1F2C">
            <w:pPr>
              <w:spacing w:before="120"/>
              <w:jc w:val="both"/>
              <w:rPr>
                <w:rFonts w:ascii="Arial" w:hAnsi="Arial" w:cs="Arial"/>
                <w:bCs/>
                <w:sz w:val="20"/>
                <w:szCs w:val="20"/>
                <w:lang w:val="en-GB"/>
              </w:rPr>
            </w:pPr>
            <w:r>
              <w:rPr>
                <w:rFonts w:ascii="Arial" w:hAnsi="Arial" w:cs="Arial"/>
                <w:sz w:val="20"/>
                <w:szCs w:val="20"/>
                <w:lang w:val="en-GB"/>
              </w:rPr>
              <w:t>The sanction</w:t>
            </w:r>
            <w:r w:rsidRPr="00D22289">
              <w:rPr>
                <w:rFonts w:ascii="Arial" w:hAnsi="Arial" w:cs="Arial"/>
                <w:sz w:val="20"/>
                <w:szCs w:val="20"/>
                <w:lang w:val="en-GB"/>
              </w:rPr>
              <w:t>s can be impose</w:t>
            </w:r>
            <w:r>
              <w:rPr>
                <w:rFonts w:ascii="Arial" w:hAnsi="Arial" w:cs="Arial"/>
                <w:sz w:val="20"/>
                <w:szCs w:val="20"/>
                <w:lang w:val="en-GB"/>
              </w:rPr>
              <w:t>d</w:t>
            </w:r>
            <w:r w:rsidRPr="00D22289">
              <w:rPr>
                <w:rFonts w:ascii="Arial" w:hAnsi="Arial" w:cs="Arial"/>
                <w:sz w:val="20"/>
                <w:szCs w:val="20"/>
                <w:lang w:val="en-GB"/>
              </w:rPr>
              <w:t xml:space="preserve"> on any person who collaborates, facilitates, authorizes, executes or tolerates infringements of the competition regime. This includes businesses</w:t>
            </w:r>
            <w:r>
              <w:rPr>
                <w:rFonts w:ascii="Arial" w:hAnsi="Arial" w:cs="Arial"/>
                <w:sz w:val="20"/>
                <w:szCs w:val="20"/>
                <w:lang w:val="en-GB"/>
              </w:rPr>
              <w:t>,</w:t>
            </w:r>
            <w:r w:rsidRPr="00D22289">
              <w:rPr>
                <w:rFonts w:ascii="Arial" w:hAnsi="Arial" w:cs="Arial"/>
                <w:sz w:val="20"/>
                <w:szCs w:val="20"/>
                <w:lang w:val="en-GB"/>
              </w:rPr>
              <w:t xml:space="preserve"> companies associations or </w:t>
            </w:r>
            <w:r w:rsidRPr="00D22289">
              <w:rPr>
                <w:rFonts w:ascii="Arial" w:hAnsi="Arial" w:cs="Arial"/>
                <w:bCs/>
                <w:sz w:val="20"/>
                <w:szCs w:val="20"/>
                <w:lang w:val="en-GB"/>
              </w:rPr>
              <w:t>individual companies.</w:t>
            </w:r>
          </w:p>
          <w:p w14:paraId="3F5E4F8B" w14:textId="77777777" w:rsidR="00EF1F2C" w:rsidRPr="00C3537E" w:rsidRDefault="00EF1F2C" w:rsidP="00002661">
            <w:pPr>
              <w:spacing w:before="120"/>
              <w:jc w:val="both"/>
              <w:rPr>
                <w:rFonts w:ascii="Arial" w:hAnsi="Arial" w:cs="Arial"/>
                <w:lang w:val="en-GB"/>
              </w:rPr>
            </w:pPr>
            <w:r>
              <w:rPr>
                <w:rFonts w:ascii="Arial" w:hAnsi="Arial" w:cs="Arial"/>
                <w:bCs/>
                <w:sz w:val="20"/>
                <w:szCs w:val="20"/>
                <w:lang w:val="en-GB"/>
              </w:rPr>
              <w:t xml:space="preserve">Criminal sanctions can be imposed what it refers to </w:t>
            </w:r>
            <w:r w:rsidR="00002661">
              <w:rPr>
                <w:rFonts w:ascii="Arial" w:hAnsi="Arial" w:cs="Arial"/>
                <w:bCs/>
                <w:sz w:val="20"/>
                <w:szCs w:val="20"/>
                <w:lang w:val="en-GB"/>
              </w:rPr>
              <w:t>concerted practices in public procurement</w:t>
            </w:r>
            <w:r>
              <w:rPr>
                <w:rFonts w:ascii="Arial" w:hAnsi="Arial" w:cs="Arial"/>
                <w:bCs/>
                <w:sz w:val="20"/>
                <w:szCs w:val="20"/>
                <w:lang w:val="en-GB"/>
              </w:rPr>
              <w:t xml:space="preserve">, contemplated in </w:t>
            </w:r>
            <w:r w:rsidR="00B65E38">
              <w:rPr>
                <w:rFonts w:ascii="Arial" w:hAnsi="Arial" w:cs="Arial"/>
                <w:bCs/>
                <w:sz w:val="20"/>
                <w:szCs w:val="20"/>
                <w:lang w:val="en-GB"/>
              </w:rPr>
              <w:t>point</w:t>
            </w:r>
            <w:r>
              <w:rPr>
                <w:rFonts w:ascii="Arial" w:hAnsi="Arial" w:cs="Arial"/>
                <w:bCs/>
                <w:sz w:val="20"/>
                <w:szCs w:val="20"/>
                <w:lang w:val="en-GB"/>
              </w:rPr>
              <w:t xml:space="preserve"> 9 of article 47 of Decree 2153 19992.</w:t>
            </w:r>
          </w:p>
        </w:tc>
      </w:tr>
      <w:tr w:rsidR="00EF1F2C" w:rsidRPr="00C3537E" w14:paraId="4C13473C" w14:textId="77777777" w:rsidTr="00EF1F2C">
        <w:tblPrEx>
          <w:shd w:val="clear" w:color="auto" w:fill="auto"/>
        </w:tblPrEx>
        <w:tc>
          <w:tcPr>
            <w:tcW w:w="3397" w:type="dxa"/>
            <w:tcBorders>
              <w:left w:val="nil"/>
            </w:tcBorders>
            <w:shd w:val="clear" w:color="auto" w:fill="F3DFC3"/>
          </w:tcPr>
          <w:p w14:paraId="4691E88C" w14:textId="77777777" w:rsidR="00EF1F2C" w:rsidRPr="00C3537E" w:rsidRDefault="00EF1F2C" w:rsidP="00EF1F2C">
            <w:pPr>
              <w:numPr>
                <w:ilvl w:val="0"/>
                <w:numId w:val="19"/>
              </w:numPr>
              <w:spacing w:before="120" w:after="120"/>
              <w:rPr>
                <w:rFonts w:ascii="Arial" w:hAnsi="Arial" w:cs="Arial"/>
                <w:b/>
                <w:bCs/>
                <w:sz w:val="20"/>
                <w:lang w:val="en-GB"/>
              </w:rPr>
            </w:pPr>
            <w:r w:rsidRPr="00C3537E">
              <w:rPr>
                <w:rFonts w:ascii="Arial" w:hAnsi="Arial" w:cs="Arial"/>
                <w:b/>
                <w:bCs/>
                <w:sz w:val="20"/>
                <w:lang w:val="en-GB"/>
              </w:rPr>
              <w:t>Criteria for determining the sanction / fine: [e.g.: gravity, duration of the violation, benefit gained from the violation]</w:t>
            </w:r>
          </w:p>
        </w:tc>
        <w:tc>
          <w:tcPr>
            <w:tcW w:w="5639" w:type="dxa"/>
            <w:tcBorders>
              <w:right w:val="nil"/>
            </w:tcBorders>
          </w:tcPr>
          <w:p w14:paraId="66931487" w14:textId="77777777" w:rsidR="00EF1F2C" w:rsidRDefault="00002661" w:rsidP="00EF1F2C">
            <w:pPr>
              <w:jc w:val="both"/>
              <w:rPr>
                <w:rFonts w:ascii="Arial" w:hAnsi="Arial" w:cs="Arial"/>
                <w:sz w:val="20"/>
                <w:szCs w:val="20"/>
                <w:lang w:val="en-GB"/>
              </w:rPr>
            </w:pPr>
            <w:r>
              <w:rPr>
                <w:rFonts w:ascii="Arial" w:hAnsi="Arial" w:cs="Arial"/>
                <w:sz w:val="20"/>
                <w:szCs w:val="20"/>
              </w:rPr>
              <w:t xml:space="preserve">Point </w:t>
            </w:r>
            <w:r w:rsidRPr="0014740D">
              <w:rPr>
                <w:rFonts w:ascii="Arial" w:hAnsi="Arial" w:cs="Arial"/>
                <w:sz w:val="20"/>
                <w:szCs w:val="20"/>
              </w:rPr>
              <w:t>1</w:t>
            </w:r>
            <w:r>
              <w:rPr>
                <w:rFonts w:ascii="Arial" w:hAnsi="Arial" w:cs="Arial"/>
                <w:sz w:val="20"/>
                <w:szCs w:val="20"/>
              </w:rPr>
              <w:t>5</w:t>
            </w:r>
            <w:r w:rsidR="00CE4A58">
              <w:rPr>
                <w:rFonts w:ascii="Arial" w:hAnsi="Arial" w:cs="Arial"/>
                <w:sz w:val="20"/>
                <w:szCs w:val="20"/>
              </w:rPr>
              <w:t xml:space="preserve"> </w:t>
            </w:r>
            <w:r>
              <w:rPr>
                <w:rFonts w:ascii="Arial" w:hAnsi="Arial" w:cs="Arial"/>
                <w:sz w:val="20"/>
                <w:szCs w:val="20"/>
              </w:rPr>
              <w:t>of</w:t>
            </w:r>
            <w:r w:rsidR="00CE4A58">
              <w:rPr>
                <w:rFonts w:ascii="Arial" w:hAnsi="Arial" w:cs="Arial"/>
                <w:sz w:val="20"/>
                <w:szCs w:val="20"/>
              </w:rPr>
              <w:t xml:space="preserve"> </w:t>
            </w:r>
            <w:r>
              <w:rPr>
                <w:rFonts w:ascii="Arial" w:hAnsi="Arial" w:cs="Arial"/>
                <w:sz w:val="20"/>
                <w:szCs w:val="20"/>
              </w:rPr>
              <w:t xml:space="preserve">Article </w:t>
            </w:r>
            <w:r w:rsidRPr="0014740D">
              <w:rPr>
                <w:rFonts w:ascii="Arial" w:hAnsi="Arial" w:cs="Arial"/>
                <w:sz w:val="20"/>
                <w:szCs w:val="20"/>
              </w:rPr>
              <w:t xml:space="preserve">4 </w:t>
            </w:r>
            <w:r>
              <w:rPr>
                <w:rFonts w:ascii="Arial" w:hAnsi="Arial" w:cs="Arial"/>
                <w:sz w:val="20"/>
                <w:szCs w:val="20"/>
              </w:rPr>
              <w:t>of the</w:t>
            </w:r>
            <w:r w:rsidRPr="0014740D">
              <w:rPr>
                <w:rFonts w:ascii="Arial" w:hAnsi="Arial" w:cs="Arial"/>
                <w:sz w:val="20"/>
                <w:szCs w:val="20"/>
              </w:rPr>
              <w:t xml:space="preserve"> Decr</w:t>
            </w:r>
            <w:r>
              <w:rPr>
                <w:rFonts w:ascii="Arial" w:hAnsi="Arial" w:cs="Arial"/>
                <w:sz w:val="20"/>
                <w:szCs w:val="20"/>
              </w:rPr>
              <w:t>e</w:t>
            </w:r>
            <w:r w:rsidRPr="0014740D">
              <w:rPr>
                <w:rFonts w:ascii="Arial" w:hAnsi="Arial" w:cs="Arial"/>
                <w:sz w:val="20"/>
                <w:szCs w:val="20"/>
              </w:rPr>
              <w:t>e</w:t>
            </w:r>
            <w:r w:rsidR="00CE4A58">
              <w:rPr>
                <w:rFonts w:ascii="Arial" w:hAnsi="Arial" w:cs="Arial"/>
                <w:sz w:val="20"/>
                <w:szCs w:val="20"/>
              </w:rPr>
              <w:t xml:space="preserve"> </w:t>
            </w:r>
            <w:r w:rsidRPr="0014740D">
              <w:rPr>
                <w:rFonts w:ascii="Arial" w:hAnsi="Arial" w:cs="Arial"/>
                <w:sz w:val="20"/>
                <w:szCs w:val="20"/>
              </w:rPr>
              <w:t xml:space="preserve">2153 </w:t>
            </w:r>
            <w:r>
              <w:rPr>
                <w:rFonts w:ascii="Arial" w:hAnsi="Arial" w:cs="Arial"/>
                <w:sz w:val="20"/>
                <w:szCs w:val="20"/>
              </w:rPr>
              <w:t>of</w:t>
            </w:r>
            <w:r w:rsidRPr="0014740D">
              <w:rPr>
                <w:rFonts w:ascii="Arial" w:hAnsi="Arial" w:cs="Arial"/>
                <w:sz w:val="20"/>
                <w:szCs w:val="20"/>
              </w:rPr>
              <w:t xml:space="preserve"> 1992 </w:t>
            </w:r>
            <w:r>
              <w:rPr>
                <w:rFonts w:ascii="Arial" w:hAnsi="Arial" w:cs="Arial"/>
                <w:sz w:val="20"/>
                <w:szCs w:val="20"/>
              </w:rPr>
              <w:t>modified by the</w:t>
            </w:r>
            <w:r>
              <w:rPr>
                <w:rFonts w:ascii="Arial" w:hAnsi="Arial" w:cs="Arial"/>
                <w:sz w:val="20"/>
                <w:szCs w:val="20"/>
                <w:lang w:val="en-GB"/>
              </w:rPr>
              <w:t xml:space="preserve"> 25 of Law 1340 </w:t>
            </w:r>
            <w:r w:rsidR="00EF1F2C" w:rsidRPr="006B73AA">
              <w:rPr>
                <w:rFonts w:ascii="Arial" w:hAnsi="Arial" w:cs="Arial"/>
                <w:sz w:val="20"/>
                <w:szCs w:val="20"/>
                <w:lang w:val="en-GB"/>
              </w:rPr>
              <w:t xml:space="preserve">establishes the following criteria: </w:t>
            </w:r>
          </w:p>
          <w:p w14:paraId="33877ECC" w14:textId="77777777" w:rsidR="00EF1F2C" w:rsidRPr="006B73AA" w:rsidRDefault="00EF1F2C" w:rsidP="00EF1F2C">
            <w:pPr>
              <w:jc w:val="both"/>
              <w:rPr>
                <w:rFonts w:ascii="Arial" w:hAnsi="Arial" w:cs="Arial"/>
                <w:sz w:val="20"/>
                <w:szCs w:val="20"/>
                <w:lang w:val="en-GB"/>
              </w:rPr>
            </w:pPr>
          </w:p>
          <w:p w14:paraId="70182655" w14:textId="77777777"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t>The impact that the conduct has on the market.</w:t>
            </w:r>
          </w:p>
          <w:p w14:paraId="69837CFE" w14:textId="77777777"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t>The size of the relevant market.</w:t>
            </w:r>
          </w:p>
          <w:p w14:paraId="745F0EB0" w14:textId="77777777"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t>The benefit obtained by the offender’s conduct.</w:t>
            </w:r>
          </w:p>
          <w:p w14:paraId="7DC35DC9" w14:textId="77777777"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t>The degree of participation involved.</w:t>
            </w:r>
          </w:p>
          <w:p w14:paraId="4AF1DEEE" w14:textId="77777777"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t xml:space="preserve">The procedural conduct of the investigation. </w:t>
            </w:r>
          </w:p>
          <w:p w14:paraId="3C02347E" w14:textId="0CA9EA65"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lastRenderedPageBreak/>
              <w:t xml:space="preserve"> The market share of the offending company, as well as some of its assets and/or sales involved in the infringement.</w:t>
            </w:r>
          </w:p>
          <w:p w14:paraId="3BA48C0F" w14:textId="77777777" w:rsidR="00EF1F2C" w:rsidRPr="006B73AA" w:rsidRDefault="00EF1F2C" w:rsidP="00EF1F2C">
            <w:pPr>
              <w:pStyle w:val="Ttulo3"/>
              <w:shd w:val="clear" w:color="auto" w:fill="FFFFFF"/>
              <w:tabs>
                <w:tab w:val="clear" w:pos="1800"/>
              </w:tabs>
              <w:spacing w:after="0"/>
              <w:ind w:left="364" w:hanging="364"/>
              <w:jc w:val="both"/>
              <w:rPr>
                <w:rFonts w:ascii="Arial" w:hAnsi="Arial" w:cs="Arial"/>
                <w:sz w:val="20"/>
              </w:rPr>
            </w:pPr>
            <w:r w:rsidRPr="006B73AA">
              <w:rPr>
                <w:rFonts w:ascii="Arial" w:hAnsi="Arial" w:cs="Arial"/>
                <w:sz w:val="20"/>
              </w:rPr>
              <w:t xml:space="preserve">The </w:t>
            </w:r>
            <w:r w:rsidR="00002661">
              <w:rPr>
                <w:rFonts w:ascii="Arial" w:hAnsi="Arial" w:cs="Arial"/>
                <w:sz w:val="20"/>
              </w:rPr>
              <w:t>equity</w:t>
            </w:r>
            <w:r w:rsidRPr="006B73AA">
              <w:rPr>
                <w:rFonts w:ascii="Arial" w:hAnsi="Arial" w:cs="Arial"/>
                <w:sz w:val="20"/>
              </w:rPr>
              <w:t xml:space="preserve"> of the offender.</w:t>
            </w:r>
          </w:p>
          <w:p w14:paraId="329DDD76" w14:textId="77777777" w:rsidR="00EF1F2C" w:rsidRPr="006B73AA" w:rsidRDefault="00EF1F2C" w:rsidP="00EF1F2C">
            <w:pPr>
              <w:pStyle w:val="Textoindependiente"/>
              <w:spacing w:after="0"/>
              <w:ind w:left="0"/>
              <w:jc w:val="both"/>
              <w:rPr>
                <w:rFonts w:ascii="Arial" w:hAnsi="Arial" w:cs="Arial"/>
                <w:sz w:val="20"/>
              </w:rPr>
            </w:pPr>
          </w:p>
          <w:p w14:paraId="6D45D2AE" w14:textId="77777777" w:rsidR="00EF1F2C" w:rsidRDefault="00EF1F2C" w:rsidP="00EF1F2C">
            <w:pPr>
              <w:pStyle w:val="Textoindependiente"/>
              <w:spacing w:after="0"/>
              <w:ind w:left="0"/>
              <w:jc w:val="both"/>
              <w:rPr>
                <w:rFonts w:ascii="Arial" w:hAnsi="Arial" w:cs="Arial"/>
                <w:sz w:val="20"/>
                <w:lang w:val="en-GB"/>
              </w:rPr>
            </w:pPr>
            <w:r w:rsidRPr="006B73AA">
              <w:rPr>
                <w:rFonts w:ascii="Arial" w:hAnsi="Arial" w:cs="Arial"/>
                <w:sz w:val="20"/>
              </w:rPr>
              <w:t xml:space="preserve">In addition, </w:t>
            </w:r>
            <w:r w:rsidR="00002661">
              <w:rPr>
                <w:rFonts w:ascii="Arial" w:hAnsi="Arial" w:cs="Arial"/>
                <w:sz w:val="20"/>
              </w:rPr>
              <w:t xml:space="preserve">Point </w:t>
            </w:r>
            <w:r w:rsidR="00002661" w:rsidRPr="0014740D">
              <w:rPr>
                <w:rFonts w:ascii="Arial" w:hAnsi="Arial" w:cs="Arial"/>
                <w:sz w:val="20"/>
              </w:rPr>
              <w:t>1</w:t>
            </w:r>
            <w:r w:rsidR="00002661">
              <w:rPr>
                <w:rFonts w:ascii="Arial" w:hAnsi="Arial" w:cs="Arial"/>
                <w:sz w:val="20"/>
              </w:rPr>
              <w:t>6</w:t>
            </w:r>
            <w:r w:rsidR="00CE4A58">
              <w:rPr>
                <w:rFonts w:ascii="Arial" w:hAnsi="Arial" w:cs="Arial"/>
                <w:sz w:val="20"/>
              </w:rPr>
              <w:t xml:space="preserve"> </w:t>
            </w:r>
            <w:r w:rsidR="00002661">
              <w:rPr>
                <w:rFonts w:ascii="Arial" w:hAnsi="Arial" w:cs="Arial"/>
                <w:sz w:val="20"/>
              </w:rPr>
              <w:t>of</w:t>
            </w:r>
            <w:r w:rsidR="00CE4A58">
              <w:rPr>
                <w:rFonts w:ascii="Arial" w:hAnsi="Arial" w:cs="Arial"/>
                <w:sz w:val="20"/>
              </w:rPr>
              <w:t xml:space="preserve"> </w:t>
            </w:r>
            <w:r w:rsidR="00002661">
              <w:rPr>
                <w:rFonts w:ascii="Arial" w:hAnsi="Arial" w:cs="Arial"/>
                <w:sz w:val="20"/>
              </w:rPr>
              <w:t xml:space="preserve">Article </w:t>
            </w:r>
            <w:r w:rsidR="00002661" w:rsidRPr="0014740D">
              <w:rPr>
                <w:rFonts w:ascii="Arial" w:hAnsi="Arial" w:cs="Arial"/>
                <w:sz w:val="20"/>
              </w:rPr>
              <w:t xml:space="preserve">4 </w:t>
            </w:r>
            <w:r w:rsidR="00002661">
              <w:rPr>
                <w:rFonts w:ascii="Arial" w:hAnsi="Arial" w:cs="Arial"/>
                <w:sz w:val="20"/>
              </w:rPr>
              <w:t>of the</w:t>
            </w:r>
            <w:r w:rsidR="00002661" w:rsidRPr="0014740D">
              <w:rPr>
                <w:rFonts w:ascii="Arial" w:hAnsi="Arial" w:cs="Arial"/>
                <w:sz w:val="20"/>
              </w:rPr>
              <w:t xml:space="preserve"> Decr</w:t>
            </w:r>
            <w:r w:rsidR="00002661">
              <w:rPr>
                <w:rFonts w:ascii="Arial" w:hAnsi="Arial" w:cs="Arial"/>
                <w:sz w:val="20"/>
              </w:rPr>
              <w:t>e</w:t>
            </w:r>
            <w:r w:rsidR="00002661" w:rsidRPr="0014740D">
              <w:rPr>
                <w:rFonts w:ascii="Arial" w:hAnsi="Arial" w:cs="Arial"/>
                <w:sz w:val="20"/>
              </w:rPr>
              <w:t>e</w:t>
            </w:r>
            <w:r w:rsidR="00CE4A58">
              <w:rPr>
                <w:rFonts w:ascii="Arial" w:hAnsi="Arial" w:cs="Arial"/>
                <w:sz w:val="20"/>
              </w:rPr>
              <w:t xml:space="preserve"> </w:t>
            </w:r>
            <w:r w:rsidR="00002661" w:rsidRPr="0014740D">
              <w:rPr>
                <w:rFonts w:ascii="Arial" w:hAnsi="Arial" w:cs="Arial"/>
                <w:sz w:val="20"/>
              </w:rPr>
              <w:t xml:space="preserve">2153 </w:t>
            </w:r>
            <w:r w:rsidR="00002661">
              <w:rPr>
                <w:rFonts w:ascii="Arial" w:hAnsi="Arial" w:cs="Arial"/>
                <w:sz w:val="20"/>
              </w:rPr>
              <w:t>of</w:t>
            </w:r>
            <w:r w:rsidR="00002661" w:rsidRPr="0014740D">
              <w:rPr>
                <w:rFonts w:ascii="Arial" w:hAnsi="Arial" w:cs="Arial"/>
                <w:sz w:val="20"/>
              </w:rPr>
              <w:t xml:space="preserve"> 1992 </w:t>
            </w:r>
            <w:r w:rsidR="00002661">
              <w:rPr>
                <w:rFonts w:ascii="Arial" w:hAnsi="Arial" w:cs="Arial"/>
                <w:sz w:val="20"/>
              </w:rPr>
              <w:t>modified by the</w:t>
            </w:r>
            <w:r w:rsidR="00002661">
              <w:rPr>
                <w:rFonts w:ascii="Arial" w:hAnsi="Arial" w:cs="Arial"/>
                <w:sz w:val="20"/>
                <w:lang w:val="en-GB"/>
              </w:rPr>
              <w:t xml:space="preserve"> 26 of Law </w:t>
            </w:r>
            <w:r w:rsidRPr="006B73AA">
              <w:rPr>
                <w:rFonts w:ascii="Arial" w:hAnsi="Arial" w:cs="Arial"/>
                <w:sz w:val="20"/>
                <w:lang w:val="en-GB"/>
              </w:rPr>
              <w:t>establishes the following criteria:</w:t>
            </w:r>
          </w:p>
          <w:p w14:paraId="2AB03CBF" w14:textId="77777777" w:rsidR="00002661" w:rsidRPr="006B73AA" w:rsidRDefault="00002661" w:rsidP="00EF1F2C">
            <w:pPr>
              <w:pStyle w:val="Textoindependiente"/>
              <w:spacing w:after="0"/>
              <w:ind w:left="0"/>
              <w:jc w:val="both"/>
              <w:rPr>
                <w:rFonts w:ascii="Arial" w:hAnsi="Arial" w:cs="Arial"/>
                <w:sz w:val="20"/>
                <w:lang w:val="en-GB"/>
              </w:rPr>
            </w:pPr>
          </w:p>
          <w:p w14:paraId="461735A4" w14:textId="77777777" w:rsidR="00EF1F2C" w:rsidRPr="006B73AA" w:rsidRDefault="00EF1F2C" w:rsidP="00EF1F2C">
            <w:pPr>
              <w:pStyle w:val="Textoindependiente"/>
              <w:numPr>
                <w:ilvl w:val="0"/>
                <w:numId w:val="38"/>
              </w:numPr>
              <w:spacing w:after="0"/>
              <w:jc w:val="both"/>
              <w:rPr>
                <w:rFonts w:ascii="Arial" w:hAnsi="Arial" w:cs="Arial"/>
                <w:sz w:val="20"/>
              </w:rPr>
            </w:pPr>
            <w:r w:rsidRPr="006B73AA">
              <w:rPr>
                <w:rFonts w:ascii="Arial" w:hAnsi="Arial" w:cs="Arial"/>
                <w:sz w:val="20"/>
              </w:rPr>
              <w:t>The persistence of the offending conduct.</w:t>
            </w:r>
          </w:p>
          <w:p w14:paraId="0371AEA5" w14:textId="77777777" w:rsidR="00EF1F2C" w:rsidRPr="006B73AA" w:rsidRDefault="00EF1F2C" w:rsidP="00EF1F2C">
            <w:pPr>
              <w:pStyle w:val="Textoindependiente"/>
              <w:numPr>
                <w:ilvl w:val="0"/>
                <w:numId w:val="38"/>
              </w:numPr>
              <w:spacing w:after="0"/>
              <w:jc w:val="both"/>
              <w:rPr>
                <w:rFonts w:ascii="Arial" w:hAnsi="Arial" w:cs="Arial"/>
                <w:sz w:val="20"/>
              </w:rPr>
            </w:pPr>
            <w:r w:rsidRPr="006B73AA">
              <w:rPr>
                <w:rFonts w:ascii="Arial" w:hAnsi="Arial" w:cs="Arial"/>
                <w:sz w:val="20"/>
              </w:rPr>
              <w:t>The impact of the conduct in the market.</w:t>
            </w:r>
          </w:p>
          <w:p w14:paraId="3B45B028" w14:textId="77777777" w:rsidR="00EF1F2C" w:rsidRPr="006B73AA" w:rsidRDefault="00EF1F2C" w:rsidP="00EF1F2C">
            <w:pPr>
              <w:pStyle w:val="Textoindependiente"/>
              <w:numPr>
                <w:ilvl w:val="0"/>
                <w:numId w:val="38"/>
              </w:numPr>
              <w:spacing w:after="0"/>
              <w:jc w:val="both"/>
              <w:rPr>
                <w:rFonts w:ascii="Arial" w:hAnsi="Arial" w:cs="Arial"/>
                <w:sz w:val="20"/>
              </w:rPr>
            </w:pPr>
            <w:r w:rsidRPr="006B73AA">
              <w:rPr>
                <w:rFonts w:ascii="Arial" w:hAnsi="Arial" w:cs="Arial"/>
                <w:sz w:val="20"/>
              </w:rPr>
              <w:t>The repetition of the prohibited conduct.</w:t>
            </w:r>
          </w:p>
          <w:p w14:paraId="7B83BB8E" w14:textId="77777777" w:rsidR="00EF1F2C" w:rsidRPr="006B73AA" w:rsidRDefault="00EF1F2C" w:rsidP="00EF1F2C">
            <w:pPr>
              <w:pStyle w:val="Textoindependiente"/>
              <w:numPr>
                <w:ilvl w:val="0"/>
                <w:numId w:val="38"/>
              </w:numPr>
              <w:spacing w:after="0"/>
              <w:jc w:val="both"/>
              <w:rPr>
                <w:rFonts w:ascii="Arial" w:hAnsi="Arial" w:cs="Arial"/>
                <w:sz w:val="20"/>
              </w:rPr>
            </w:pPr>
            <w:r w:rsidRPr="006B73AA">
              <w:rPr>
                <w:rFonts w:ascii="Arial" w:hAnsi="Arial" w:cs="Arial"/>
                <w:sz w:val="20"/>
              </w:rPr>
              <w:t>The procedural conduct of the offender, and</w:t>
            </w:r>
          </w:p>
          <w:p w14:paraId="07BF2C4D" w14:textId="77777777" w:rsidR="00EF1F2C" w:rsidRPr="00C3537E" w:rsidRDefault="00EF1F2C" w:rsidP="00EF1F2C">
            <w:pPr>
              <w:spacing w:before="120"/>
              <w:jc w:val="both"/>
              <w:rPr>
                <w:rFonts w:ascii="Arial" w:hAnsi="Arial" w:cs="Arial"/>
                <w:szCs w:val="28"/>
                <w:lang w:val="en-GB"/>
              </w:rPr>
            </w:pPr>
            <w:r w:rsidRPr="006B73AA">
              <w:rPr>
                <w:rFonts w:ascii="Arial" w:hAnsi="Arial" w:cs="Arial"/>
                <w:sz w:val="20"/>
              </w:rPr>
              <w:t>The degree of participation of the offender.</w:t>
            </w:r>
          </w:p>
        </w:tc>
      </w:tr>
      <w:tr w:rsidR="00EF1F2C" w:rsidRPr="00C3537E" w14:paraId="6B9E467A" w14:textId="77777777" w:rsidTr="00EF1F2C">
        <w:tblPrEx>
          <w:shd w:val="clear" w:color="auto" w:fill="auto"/>
        </w:tblPrEx>
        <w:tc>
          <w:tcPr>
            <w:tcW w:w="3397" w:type="dxa"/>
            <w:tcBorders>
              <w:left w:val="nil"/>
            </w:tcBorders>
            <w:shd w:val="clear" w:color="auto" w:fill="F3DFC3"/>
          </w:tcPr>
          <w:p w14:paraId="1AA0AAA8" w14:textId="77777777" w:rsidR="00EF1F2C" w:rsidRPr="00C3537E" w:rsidRDefault="00EF1F2C" w:rsidP="00EF1F2C">
            <w:pPr>
              <w:numPr>
                <w:ilvl w:val="0"/>
                <w:numId w:val="19"/>
              </w:numPr>
              <w:spacing w:before="120" w:after="120"/>
              <w:rPr>
                <w:rFonts w:ascii="Arial" w:hAnsi="Arial" w:cs="Arial"/>
                <w:b/>
                <w:bCs/>
                <w:sz w:val="20"/>
                <w:lang w:val="en-GB"/>
              </w:rPr>
            </w:pPr>
            <w:r w:rsidRPr="00C3537E">
              <w:rPr>
                <w:rFonts w:ascii="Arial" w:hAnsi="Arial" w:cs="Arial"/>
                <w:b/>
                <w:bCs/>
                <w:sz w:val="20"/>
                <w:lang w:val="en-GB"/>
              </w:rPr>
              <w:lastRenderedPageBreak/>
              <w:t>Are there maximum and / or minimum sanctions / fines?</w:t>
            </w:r>
          </w:p>
        </w:tc>
        <w:tc>
          <w:tcPr>
            <w:tcW w:w="5639" w:type="dxa"/>
            <w:tcBorders>
              <w:right w:val="nil"/>
            </w:tcBorders>
          </w:tcPr>
          <w:p w14:paraId="20BFAB0D" w14:textId="6D91C97B" w:rsidR="00EF1F2C" w:rsidRPr="00AA06A2" w:rsidRDefault="00EF1F2C" w:rsidP="00EF1F2C">
            <w:pPr>
              <w:spacing w:before="120"/>
              <w:jc w:val="both"/>
              <w:rPr>
                <w:rFonts w:ascii="Arial" w:hAnsi="Arial" w:cs="Arial"/>
                <w:sz w:val="20"/>
                <w:szCs w:val="20"/>
              </w:rPr>
            </w:pPr>
            <w:r w:rsidRPr="00AA06A2">
              <w:rPr>
                <w:rFonts w:ascii="Arial" w:hAnsi="Arial" w:cs="Arial"/>
                <w:sz w:val="20"/>
                <w:szCs w:val="20"/>
                <w:lang w:val="en-GB"/>
              </w:rPr>
              <w:t xml:space="preserve">According to </w:t>
            </w:r>
            <w:r w:rsidR="00002661">
              <w:rPr>
                <w:rFonts w:ascii="Arial" w:hAnsi="Arial" w:cs="Arial"/>
                <w:sz w:val="20"/>
                <w:szCs w:val="20"/>
              </w:rPr>
              <w:t xml:space="preserve">Point </w:t>
            </w:r>
            <w:r w:rsidR="00002661" w:rsidRPr="0014740D">
              <w:rPr>
                <w:rFonts w:ascii="Arial" w:hAnsi="Arial" w:cs="Arial"/>
                <w:sz w:val="20"/>
                <w:szCs w:val="20"/>
              </w:rPr>
              <w:t>1</w:t>
            </w:r>
            <w:r w:rsidR="00002661">
              <w:rPr>
                <w:rFonts w:ascii="Arial" w:hAnsi="Arial" w:cs="Arial"/>
                <w:sz w:val="20"/>
                <w:szCs w:val="20"/>
              </w:rPr>
              <w:t>5</w:t>
            </w:r>
            <w:r w:rsidR="00CE4A58">
              <w:rPr>
                <w:rFonts w:ascii="Arial" w:hAnsi="Arial" w:cs="Arial"/>
                <w:sz w:val="20"/>
                <w:szCs w:val="20"/>
              </w:rPr>
              <w:t xml:space="preserve"> </w:t>
            </w:r>
            <w:r w:rsidR="00002661">
              <w:rPr>
                <w:rFonts w:ascii="Arial" w:hAnsi="Arial" w:cs="Arial"/>
                <w:sz w:val="20"/>
                <w:szCs w:val="20"/>
              </w:rPr>
              <w:t>of</w:t>
            </w:r>
            <w:r w:rsidR="00CE4A58">
              <w:rPr>
                <w:rFonts w:ascii="Arial" w:hAnsi="Arial" w:cs="Arial"/>
                <w:sz w:val="20"/>
                <w:szCs w:val="20"/>
              </w:rPr>
              <w:t xml:space="preserve"> </w:t>
            </w:r>
            <w:r w:rsidR="00002661">
              <w:rPr>
                <w:rFonts w:ascii="Arial" w:hAnsi="Arial" w:cs="Arial"/>
                <w:sz w:val="20"/>
                <w:szCs w:val="20"/>
              </w:rPr>
              <w:t xml:space="preserve">Article </w:t>
            </w:r>
            <w:r w:rsidR="00002661" w:rsidRPr="0014740D">
              <w:rPr>
                <w:rFonts w:ascii="Arial" w:hAnsi="Arial" w:cs="Arial"/>
                <w:sz w:val="20"/>
                <w:szCs w:val="20"/>
              </w:rPr>
              <w:t xml:space="preserve">4 </w:t>
            </w:r>
            <w:r w:rsidR="00002661">
              <w:rPr>
                <w:rFonts w:ascii="Arial" w:hAnsi="Arial" w:cs="Arial"/>
                <w:sz w:val="20"/>
                <w:szCs w:val="20"/>
              </w:rPr>
              <w:t>of the</w:t>
            </w:r>
            <w:r w:rsidR="00002661" w:rsidRPr="0014740D">
              <w:rPr>
                <w:rFonts w:ascii="Arial" w:hAnsi="Arial" w:cs="Arial"/>
                <w:sz w:val="20"/>
                <w:szCs w:val="20"/>
              </w:rPr>
              <w:t xml:space="preserve"> Decr</w:t>
            </w:r>
            <w:r w:rsidR="00002661">
              <w:rPr>
                <w:rFonts w:ascii="Arial" w:hAnsi="Arial" w:cs="Arial"/>
                <w:sz w:val="20"/>
                <w:szCs w:val="20"/>
              </w:rPr>
              <w:t>e</w:t>
            </w:r>
            <w:r w:rsidR="00002661" w:rsidRPr="0014740D">
              <w:rPr>
                <w:rFonts w:ascii="Arial" w:hAnsi="Arial" w:cs="Arial"/>
                <w:sz w:val="20"/>
                <w:szCs w:val="20"/>
              </w:rPr>
              <w:t>e</w:t>
            </w:r>
            <w:r w:rsidR="00CE4A58">
              <w:rPr>
                <w:rFonts w:ascii="Arial" w:hAnsi="Arial" w:cs="Arial"/>
                <w:sz w:val="20"/>
                <w:szCs w:val="20"/>
              </w:rPr>
              <w:t xml:space="preserve"> </w:t>
            </w:r>
            <w:r w:rsidR="00002661" w:rsidRPr="0014740D">
              <w:rPr>
                <w:rFonts w:ascii="Arial" w:hAnsi="Arial" w:cs="Arial"/>
                <w:sz w:val="20"/>
                <w:szCs w:val="20"/>
              </w:rPr>
              <w:t xml:space="preserve">2153 </w:t>
            </w:r>
            <w:r w:rsidR="00002661">
              <w:rPr>
                <w:rFonts w:ascii="Arial" w:hAnsi="Arial" w:cs="Arial"/>
                <w:sz w:val="20"/>
                <w:szCs w:val="20"/>
              </w:rPr>
              <w:t>of</w:t>
            </w:r>
            <w:r w:rsidR="00002661" w:rsidRPr="0014740D">
              <w:rPr>
                <w:rFonts w:ascii="Arial" w:hAnsi="Arial" w:cs="Arial"/>
                <w:sz w:val="20"/>
                <w:szCs w:val="20"/>
              </w:rPr>
              <w:t xml:space="preserve"> 1992 </w:t>
            </w:r>
            <w:r w:rsidR="00002661">
              <w:rPr>
                <w:rFonts w:ascii="Arial" w:hAnsi="Arial" w:cs="Arial"/>
                <w:sz w:val="20"/>
                <w:szCs w:val="20"/>
              </w:rPr>
              <w:t>modified by the</w:t>
            </w:r>
            <w:r w:rsidR="00002661">
              <w:rPr>
                <w:rFonts w:ascii="Arial" w:hAnsi="Arial" w:cs="Arial"/>
                <w:sz w:val="20"/>
                <w:szCs w:val="20"/>
                <w:lang w:val="en-GB"/>
              </w:rPr>
              <w:t xml:space="preserve"> 25 of Law 1340 </w:t>
            </w:r>
            <w:r>
              <w:rPr>
                <w:rFonts w:ascii="Arial" w:hAnsi="Arial" w:cs="Arial"/>
                <w:sz w:val="20"/>
                <w:szCs w:val="20"/>
                <w:lang w:val="en-GB"/>
              </w:rPr>
              <w:t xml:space="preserve">, </w:t>
            </w:r>
            <w:r w:rsidRPr="00AA06A2">
              <w:rPr>
                <w:rFonts w:ascii="Arial" w:hAnsi="Arial" w:cs="Arial"/>
                <w:sz w:val="20"/>
                <w:szCs w:val="20"/>
                <w:lang w:val="en-GB"/>
              </w:rPr>
              <w:t xml:space="preserve">for legal persons the maximum sanction is up to </w:t>
            </w:r>
            <w:r w:rsidR="00D924C6">
              <w:rPr>
                <w:rFonts w:ascii="Arial" w:hAnsi="Arial" w:cs="Arial"/>
                <w:sz w:val="20"/>
                <w:szCs w:val="20"/>
                <w:lang w:val="en-GB"/>
              </w:rPr>
              <w:t>COP$ 87.780.30</w:t>
            </w:r>
            <w:r w:rsidR="00D924C6" w:rsidRPr="00223853">
              <w:rPr>
                <w:rFonts w:ascii="Arial" w:hAnsi="Arial" w:cs="Arial"/>
                <w:sz w:val="20"/>
                <w:szCs w:val="20"/>
                <w:lang w:val="en-GB"/>
              </w:rPr>
              <w:t>0.000</w:t>
            </w:r>
            <w:r w:rsidR="00223853">
              <w:rPr>
                <w:rStyle w:val="Refdenotaalpie"/>
                <w:rFonts w:cs="Arial"/>
                <w:szCs w:val="20"/>
                <w:lang w:val="en-GB"/>
              </w:rPr>
              <w:footnoteReference w:id="15"/>
            </w:r>
            <w:r w:rsidR="00223853">
              <w:rPr>
                <w:rFonts w:ascii="Arial" w:hAnsi="Arial" w:cs="Arial"/>
                <w:sz w:val="20"/>
                <w:szCs w:val="20"/>
                <w:lang w:val="en-GB"/>
              </w:rPr>
              <w:t xml:space="preserve"> </w:t>
            </w:r>
            <w:r w:rsidR="00223853">
              <w:rPr>
                <w:rFonts w:ascii="Arial" w:hAnsi="Arial" w:cs="Arial"/>
                <w:sz w:val="20"/>
                <w:szCs w:val="20"/>
                <w:lang w:val="en-GB"/>
              </w:rPr>
              <w:t>o</w:t>
            </w:r>
            <w:r w:rsidR="00223853" w:rsidRPr="00AA06A2">
              <w:rPr>
                <w:rFonts w:ascii="Arial" w:hAnsi="Arial" w:cs="Arial"/>
                <w:sz w:val="20"/>
                <w:szCs w:val="20"/>
              </w:rPr>
              <w:t>r if more</w:t>
            </w:r>
            <w:r w:rsidRPr="00223853">
              <w:rPr>
                <w:rFonts w:ascii="Arial" w:hAnsi="Arial" w:cs="Arial"/>
                <w:sz w:val="20"/>
                <w:szCs w:val="20"/>
              </w:rPr>
              <w:t>, up to 150</w:t>
            </w:r>
            <w:r w:rsidRPr="00AA06A2">
              <w:rPr>
                <w:rFonts w:ascii="Arial" w:hAnsi="Arial" w:cs="Arial"/>
                <w:sz w:val="20"/>
                <w:szCs w:val="20"/>
              </w:rPr>
              <w:t xml:space="preserve">% of the gross is profit of the conduct. </w:t>
            </w:r>
          </w:p>
          <w:p w14:paraId="7411D827" w14:textId="7619A941" w:rsidR="00EF1F2C" w:rsidRPr="00C3537E" w:rsidRDefault="00EF1F2C" w:rsidP="00002661">
            <w:pPr>
              <w:spacing w:before="120"/>
              <w:jc w:val="both"/>
              <w:rPr>
                <w:rFonts w:ascii="Arial" w:hAnsi="Arial" w:cs="Arial"/>
                <w:sz w:val="20"/>
                <w:lang w:val="en-GB"/>
              </w:rPr>
            </w:pPr>
            <w:r w:rsidRPr="00AA06A2">
              <w:rPr>
                <w:rFonts w:ascii="Arial" w:hAnsi="Arial" w:cs="Arial"/>
                <w:sz w:val="20"/>
                <w:szCs w:val="20"/>
              </w:rPr>
              <w:t xml:space="preserve">For natural persons, </w:t>
            </w:r>
            <w:r w:rsidR="00002661">
              <w:rPr>
                <w:rFonts w:ascii="Arial" w:hAnsi="Arial" w:cs="Arial"/>
                <w:sz w:val="20"/>
                <w:szCs w:val="20"/>
              </w:rPr>
              <w:t xml:space="preserve">point </w:t>
            </w:r>
            <w:r w:rsidR="00002661" w:rsidRPr="0014740D">
              <w:rPr>
                <w:rFonts w:ascii="Arial" w:hAnsi="Arial" w:cs="Arial"/>
                <w:sz w:val="20"/>
                <w:szCs w:val="20"/>
              </w:rPr>
              <w:t>1</w:t>
            </w:r>
            <w:r w:rsidR="00002661">
              <w:rPr>
                <w:rFonts w:ascii="Arial" w:hAnsi="Arial" w:cs="Arial"/>
                <w:sz w:val="20"/>
                <w:szCs w:val="20"/>
              </w:rPr>
              <w:t xml:space="preserve">6ofArticle </w:t>
            </w:r>
            <w:r w:rsidR="00002661" w:rsidRPr="0014740D">
              <w:rPr>
                <w:rFonts w:ascii="Arial" w:hAnsi="Arial" w:cs="Arial"/>
                <w:sz w:val="20"/>
                <w:szCs w:val="20"/>
              </w:rPr>
              <w:t xml:space="preserve">4 </w:t>
            </w:r>
            <w:r w:rsidR="00002661">
              <w:rPr>
                <w:rFonts w:ascii="Arial" w:hAnsi="Arial" w:cs="Arial"/>
                <w:sz w:val="20"/>
                <w:szCs w:val="20"/>
              </w:rPr>
              <w:t>of the</w:t>
            </w:r>
            <w:r w:rsidR="00002661" w:rsidRPr="0014740D">
              <w:rPr>
                <w:rFonts w:ascii="Arial" w:hAnsi="Arial" w:cs="Arial"/>
                <w:sz w:val="20"/>
                <w:szCs w:val="20"/>
              </w:rPr>
              <w:t xml:space="preserve"> Decr</w:t>
            </w:r>
            <w:r w:rsidR="00002661">
              <w:rPr>
                <w:rFonts w:ascii="Arial" w:hAnsi="Arial" w:cs="Arial"/>
                <w:sz w:val="20"/>
                <w:szCs w:val="20"/>
              </w:rPr>
              <w:t>e</w:t>
            </w:r>
            <w:r w:rsidR="00002661" w:rsidRPr="0014740D">
              <w:rPr>
                <w:rFonts w:ascii="Arial" w:hAnsi="Arial" w:cs="Arial"/>
                <w:sz w:val="20"/>
                <w:szCs w:val="20"/>
              </w:rPr>
              <w:t xml:space="preserve">e2153 </w:t>
            </w:r>
            <w:r w:rsidR="00002661">
              <w:rPr>
                <w:rFonts w:ascii="Arial" w:hAnsi="Arial" w:cs="Arial"/>
                <w:sz w:val="20"/>
                <w:szCs w:val="20"/>
              </w:rPr>
              <w:t>of</w:t>
            </w:r>
            <w:r w:rsidR="00002661" w:rsidRPr="0014740D">
              <w:rPr>
                <w:rFonts w:ascii="Arial" w:hAnsi="Arial" w:cs="Arial"/>
                <w:sz w:val="20"/>
                <w:szCs w:val="20"/>
              </w:rPr>
              <w:t xml:space="preserve"> 1992 </w:t>
            </w:r>
            <w:r w:rsidR="00002661">
              <w:rPr>
                <w:rFonts w:ascii="Arial" w:hAnsi="Arial" w:cs="Arial"/>
                <w:sz w:val="20"/>
                <w:szCs w:val="20"/>
              </w:rPr>
              <w:t>modified by the</w:t>
            </w:r>
            <w:r w:rsidR="00002661">
              <w:rPr>
                <w:rFonts w:ascii="Arial" w:hAnsi="Arial" w:cs="Arial"/>
                <w:sz w:val="20"/>
                <w:szCs w:val="20"/>
                <w:lang w:val="en-GB"/>
              </w:rPr>
              <w:t xml:space="preserve"> 26 of Law 1340 </w:t>
            </w:r>
            <w:r w:rsidRPr="00AA06A2">
              <w:rPr>
                <w:rFonts w:ascii="Arial" w:hAnsi="Arial" w:cs="Arial"/>
                <w:sz w:val="20"/>
                <w:szCs w:val="20"/>
              </w:rPr>
              <w:t>establishes that sactions will be up to</w:t>
            </w:r>
            <w:r w:rsidR="00D924C6">
              <w:rPr>
                <w:rFonts w:ascii="Arial" w:hAnsi="Arial" w:cs="Arial"/>
                <w:sz w:val="20"/>
                <w:szCs w:val="20"/>
              </w:rPr>
              <w:t xml:space="preserve"> COP$ 1.755.606.000</w:t>
            </w:r>
            <w:r w:rsidR="00223853">
              <w:rPr>
                <w:rStyle w:val="Refdenotaalpie"/>
                <w:rFonts w:cs="Arial"/>
                <w:szCs w:val="20"/>
              </w:rPr>
              <w:footnoteReference w:id="16"/>
            </w:r>
            <w:r w:rsidR="00223853">
              <w:rPr>
                <w:rFonts w:ascii="Arial" w:hAnsi="Arial" w:cs="Arial"/>
                <w:sz w:val="20"/>
                <w:szCs w:val="20"/>
              </w:rPr>
              <w:t>.</w:t>
            </w:r>
          </w:p>
        </w:tc>
      </w:tr>
      <w:tr w:rsidR="00EF1F2C" w:rsidRPr="00C3537E" w14:paraId="0C4BF475" w14:textId="77777777" w:rsidTr="00EF1F2C">
        <w:tblPrEx>
          <w:shd w:val="clear" w:color="auto" w:fill="auto"/>
        </w:tblPrEx>
        <w:tc>
          <w:tcPr>
            <w:tcW w:w="3397" w:type="dxa"/>
            <w:tcBorders>
              <w:left w:val="nil"/>
            </w:tcBorders>
            <w:shd w:val="clear" w:color="auto" w:fill="F3DFC3"/>
          </w:tcPr>
          <w:p w14:paraId="3202AF55" w14:textId="77777777" w:rsidR="00EF1F2C" w:rsidRPr="00C3537E" w:rsidRDefault="00EF1F2C" w:rsidP="00EF1F2C">
            <w:pPr>
              <w:numPr>
                <w:ilvl w:val="0"/>
                <w:numId w:val="19"/>
              </w:numPr>
              <w:spacing w:before="120" w:after="120"/>
              <w:rPr>
                <w:rFonts w:ascii="Arial" w:hAnsi="Arial" w:cs="Arial"/>
                <w:b/>
                <w:bCs/>
                <w:sz w:val="20"/>
                <w:lang w:val="en-GB"/>
              </w:rPr>
            </w:pPr>
            <w:r w:rsidRPr="00C3537E">
              <w:rPr>
                <w:rFonts w:ascii="Arial" w:hAnsi="Arial" w:cs="Arial"/>
                <w:b/>
                <w:bCs/>
                <w:sz w:val="20"/>
                <w:lang w:val="en-GB"/>
              </w:rPr>
              <w:t>Guideline(s) on calculation of fines: [name and reference number, availability (homepage address) and indication of the languages in which these materials are available]</w:t>
            </w:r>
          </w:p>
        </w:tc>
        <w:tc>
          <w:tcPr>
            <w:tcW w:w="5639" w:type="dxa"/>
            <w:tcBorders>
              <w:right w:val="nil"/>
            </w:tcBorders>
          </w:tcPr>
          <w:p w14:paraId="2C0D10D8" w14:textId="77777777" w:rsidR="00EF1F2C" w:rsidRPr="00C3537E" w:rsidRDefault="00EF1F2C" w:rsidP="004908E2">
            <w:pPr>
              <w:spacing w:before="120"/>
              <w:jc w:val="both"/>
              <w:rPr>
                <w:rFonts w:ascii="Arial" w:hAnsi="Arial" w:cs="Arial"/>
                <w:lang w:val="en-GB"/>
              </w:rPr>
            </w:pPr>
            <w:r>
              <w:rPr>
                <w:rFonts w:ascii="Arial" w:hAnsi="Arial" w:cs="Arial"/>
                <w:sz w:val="20"/>
                <w:szCs w:val="20"/>
                <w:lang w:val="en-GB"/>
              </w:rPr>
              <w:t xml:space="preserve">There are no guidelines in this regard. </w:t>
            </w:r>
            <w:r w:rsidR="004908E2">
              <w:rPr>
                <w:rFonts w:ascii="Arial" w:hAnsi="Arial" w:cs="Arial"/>
                <w:sz w:val="20"/>
                <w:szCs w:val="20"/>
                <w:lang w:val="en-GB"/>
              </w:rPr>
              <w:t>However, the Superintendence of Industry and Commerce is currently working in a guideline on calculation of fines.</w:t>
            </w:r>
          </w:p>
        </w:tc>
      </w:tr>
      <w:tr w:rsidR="00EF1F2C" w:rsidRPr="00C3537E" w14:paraId="6E061C22" w14:textId="77777777" w:rsidTr="00EF1F2C">
        <w:tblPrEx>
          <w:shd w:val="clear" w:color="auto" w:fill="auto"/>
        </w:tblPrEx>
        <w:tc>
          <w:tcPr>
            <w:tcW w:w="3397" w:type="dxa"/>
            <w:tcBorders>
              <w:left w:val="nil"/>
            </w:tcBorders>
            <w:shd w:val="clear" w:color="auto" w:fill="F3DFC3"/>
          </w:tcPr>
          <w:p w14:paraId="58EDD2A4" w14:textId="77777777" w:rsidR="00EF1F2C" w:rsidRPr="00C3537E" w:rsidRDefault="00EF1F2C" w:rsidP="00EF1F2C">
            <w:pPr>
              <w:numPr>
                <w:ilvl w:val="0"/>
                <w:numId w:val="19"/>
              </w:numPr>
              <w:spacing w:before="120" w:after="120"/>
              <w:rPr>
                <w:rFonts w:ascii="Arial" w:hAnsi="Arial" w:cs="Arial"/>
                <w:b/>
                <w:bCs/>
                <w:sz w:val="20"/>
                <w:lang w:val="en-GB"/>
              </w:rPr>
            </w:pPr>
            <w:r w:rsidRPr="00C3537E">
              <w:rPr>
                <w:rFonts w:ascii="Arial" w:hAnsi="Arial" w:cs="Arial"/>
                <w:b/>
                <w:bCs/>
                <w:sz w:val="20"/>
                <w:lang w:val="en-GB"/>
              </w:rPr>
              <w:t>Does a challenge to a decision imposing a sanction / fine have an automatic suspensory effect on that sanction / fine? If it is necessary to apply for suspension, what are the criteria?</w:t>
            </w:r>
          </w:p>
        </w:tc>
        <w:tc>
          <w:tcPr>
            <w:tcW w:w="5639" w:type="dxa"/>
            <w:tcBorders>
              <w:right w:val="nil"/>
            </w:tcBorders>
          </w:tcPr>
          <w:p w14:paraId="36B6C8E0" w14:textId="77777777" w:rsidR="00EF1F2C" w:rsidRDefault="004908E2" w:rsidP="00EF1F2C">
            <w:pPr>
              <w:spacing w:before="120"/>
              <w:rPr>
                <w:rFonts w:ascii="Arial" w:hAnsi="Arial" w:cs="Arial"/>
                <w:sz w:val="20"/>
                <w:lang w:val="en-GB"/>
              </w:rPr>
            </w:pPr>
            <w:r w:rsidRPr="006B73AA">
              <w:rPr>
                <w:rFonts w:ascii="Arial" w:hAnsi="Arial" w:cs="Arial"/>
                <w:sz w:val="20"/>
                <w:szCs w:val="20"/>
                <w:lang w:val="en-GB"/>
              </w:rPr>
              <w:t>No, it does not have a suspensory effect.</w:t>
            </w:r>
          </w:p>
          <w:p w14:paraId="1D45176A" w14:textId="77777777" w:rsidR="004908E2" w:rsidRPr="004908E2" w:rsidRDefault="004908E2" w:rsidP="004908E2">
            <w:pPr>
              <w:rPr>
                <w:rFonts w:ascii="Arial" w:hAnsi="Arial" w:cs="Arial"/>
                <w:lang w:val="en-GB"/>
              </w:rPr>
            </w:pPr>
          </w:p>
          <w:p w14:paraId="7E9FEF68" w14:textId="77777777" w:rsidR="004908E2" w:rsidRPr="004908E2" w:rsidRDefault="004908E2" w:rsidP="004908E2">
            <w:pPr>
              <w:rPr>
                <w:rFonts w:ascii="Arial" w:hAnsi="Arial" w:cs="Arial"/>
                <w:lang w:val="en-GB"/>
              </w:rPr>
            </w:pPr>
          </w:p>
          <w:p w14:paraId="58B067EF" w14:textId="77777777" w:rsidR="004908E2" w:rsidRDefault="004908E2" w:rsidP="004908E2">
            <w:pPr>
              <w:rPr>
                <w:rFonts w:ascii="Arial" w:hAnsi="Arial" w:cs="Arial"/>
                <w:sz w:val="20"/>
                <w:lang w:val="en-GB"/>
              </w:rPr>
            </w:pPr>
          </w:p>
          <w:p w14:paraId="02901F1C" w14:textId="77777777" w:rsidR="004908E2" w:rsidRPr="004908E2" w:rsidRDefault="004908E2" w:rsidP="004908E2">
            <w:pPr>
              <w:tabs>
                <w:tab w:val="left" w:pos="4365"/>
              </w:tabs>
              <w:rPr>
                <w:rFonts w:ascii="Arial" w:hAnsi="Arial" w:cs="Arial"/>
                <w:lang w:val="en-GB"/>
              </w:rPr>
            </w:pPr>
            <w:r>
              <w:rPr>
                <w:rFonts w:ascii="Arial" w:hAnsi="Arial" w:cs="Arial"/>
                <w:lang w:val="en-GB"/>
              </w:rPr>
              <w:tab/>
            </w:r>
          </w:p>
        </w:tc>
      </w:tr>
    </w:tbl>
    <w:p w14:paraId="7B722F93" w14:textId="77777777" w:rsidR="007B7C69" w:rsidRPr="00C3537E" w:rsidRDefault="007B7C69">
      <w:pPr>
        <w:pStyle w:val="Textoindependiente"/>
        <w:ind w:left="0"/>
        <w:jc w:val="both"/>
        <w:rPr>
          <w:rFonts w:ascii="Arial" w:hAnsi="Arial" w:cs="Arial"/>
          <w:lang w:val="en-GB"/>
        </w:rPr>
      </w:pPr>
    </w:p>
    <w:p w14:paraId="66980878" w14:textId="77777777" w:rsidR="007B7C69" w:rsidRPr="00C3537E" w:rsidRDefault="007B7C69">
      <w:pPr>
        <w:pStyle w:val="Ttulo1"/>
        <w:numPr>
          <w:ilvl w:val="0"/>
          <w:numId w:val="0"/>
        </w:numPr>
        <w:jc w:val="both"/>
        <w:rPr>
          <w:rFonts w:ascii="Arial" w:hAnsi="Arial" w:cs="Arial"/>
          <w:b w:val="0"/>
          <w:bCs/>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3373"/>
        <w:gridCol w:w="5663"/>
      </w:tblGrid>
      <w:tr w:rsidR="007B7C69" w:rsidRPr="00C3537E" w14:paraId="50FDA5E7" w14:textId="77777777">
        <w:tc>
          <w:tcPr>
            <w:tcW w:w="9262" w:type="dxa"/>
            <w:gridSpan w:val="2"/>
            <w:shd w:val="clear" w:color="auto" w:fill="61243B"/>
          </w:tcPr>
          <w:p w14:paraId="7189DD59" w14:textId="77777777" w:rsidR="007B7C69" w:rsidRPr="00C3537E" w:rsidRDefault="000E51B6">
            <w:pPr>
              <w:pStyle w:val="Ttulo1"/>
              <w:spacing w:before="240"/>
              <w:rPr>
                <w:rFonts w:ascii="Arial" w:hAnsi="Arial" w:cs="Arial"/>
                <w:color w:val="FFFFFF"/>
                <w:sz w:val="28"/>
                <w:lang w:val="en-GB"/>
              </w:rPr>
            </w:pPr>
            <w:r w:rsidRPr="00C3537E">
              <w:rPr>
                <w:rFonts w:ascii="Arial" w:hAnsi="Arial" w:cs="Arial"/>
                <w:color w:val="FFFFFF"/>
                <w:sz w:val="28"/>
                <w:lang w:val="en-GB"/>
              </w:rPr>
              <w:t>Possibilities of appeal</w:t>
            </w:r>
          </w:p>
        </w:tc>
      </w:tr>
      <w:tr w:rsidR="007B7C69" w:rsidRPr="00C3537E" w14:paraId="0B9B2EFD" w14:textId="77777777" w:rsidTr="00F87CF4">
        <w:tblPrEx>
          <w:shd w:val="clear" w:color="auto" w:fill="auto"/>
        </w:tblPrEx>
        <w:tc>
          <w:tcPr>
            <w:tcW w:w="3432" w:type="dxa"/>
            <w:tcBorders>
              <w:left w:val="nil"/>
              <w:bottom w:val="single" w:sz="4" w:space="0" w:color="auto"/>
            </w:tcBorders>
            <w:shd w:val="clear" w:color="auto" w:fill="F3DFC3"/>
          </w:tcPr>
          <w:p w14:paraId="2DD27173" w14:textId="77777777" w:rsidR="007B7C69" w:rsidRPr="00C3537E" w:rsidRDefault="007B7C69" w:rsidP="004E556E">
            <w:pPr>
              <w:numPr>
                <w:ilvl w:val="0"/>
                <w:numId w:val="22"/>
              </w:numPr>
              <w:spacing w:before="120" w:after="120"/>
              <w:rPr>
                <w:rFonts w:ascii="Arial" w:hAnsi="Arial" w:cs="Arial"/>
                <w:b/>
                <w:sz w:val="20"/>
                <w:lang w:val="en-GB"/>
              </w:rPr>
            </w:pPr>
            <w:r w:rsidRPr="00C3537E">
              <w:rPr>
                <w:rFonts w:ascii="Arial" w:hAnsi="Arial" w:cs="Arial"/>
                <w:b/>
                <w:bCs/>
                <w:sz w:val="20"/>
                <w:lang w:val="en-GB"/>
              </w:rPr>
              <w:t xml:space="preserve">Does your law provide for an appeal </w:t>
            </w:r>
            <w:r w:rsidR="004E556E" w:rsidRPr="00C3537E">
              <w:rPr>
                <w:rFonts w:ascii="Arial" w:hAnsi="Arial" w:cs="Arial"/>
                <w:b/>
                <w:bCs/>
                <w:sz w:val="20"/>
                <w:lang w:val="en-GB"/>
              </w:rPr>
              <w:t xml:space="preserve">against </w:t>
            </w:r>
            <w:r w:rsidRPr="00C3537E">
              <w:rPr>
                <w:rFonts w:ascii="Arial" w:hAnsi="Arial" w:cs="Arial"/>
                <w:b/>
                <w:bCs/>
                <w:sz w:val="20"/>
                <w:lang w:val="en-GB"/>
              </w:rPr>
              <w:t xml:space="preserve">a decision that there has been a violation of a prohibition of cartels? If yes, what are the grounds of appeal, such as </w:t>
            </w:r>
            <w:r w:rsidRPr="00C3537E">
              <w:rPr>
                <w:rFonts w:ascii="Arial" w:hAnsi="Arial" w:cs="Arial"/>
                <w:b/>
                <w:bCs/>
                <w:sz w:val="20"/>
                <w:lang w:val="en-GB"/>
              </w:rPr>
              <w:lastRenderedPageBreak/>
              <w:t>questions of law or fact or breaches of procedural requirements?</w:t>
            </w:r>
          </w:p>
        </w:tc>
        <w:tc>
          <w:tcPr>
            <w:tcW w:w="5830" w:type="dxa"/>
            <w:tcBorders>
              <w:right w:val="nil"/>
            </w:tcBorders>
          </w:tcPr>
          <w:p w14:paraId="7D571D25" w14:textId="77777777" w:rsidR="004908E2" w:rsidRDefault="004908E2" w:rsidP="004908E2">
            <w:pPr>
              <w:spacing w:before="120"/>
              <w:jc w:val="both"/>
              <w:rPr>
                <w:rFonts w:ascii="Arial" w:hAnsi="Arial" w:cs="Arial"/>
                <w:sz w:val="20"/>
                <w:szCs w:val="20"/>
                <w:lang w:val="en-GB"/>
              </w:rPr>
            </w:pPr>
            <w:r w:rsidRPr="00D33FA8">
              <w:rPr>
                <w:rFonts w:ascii="Arial" w:hAnsi="Arial" w:cs="Arial"/>
                <w:sz w:val="20"/>
                <w:szCs w:val="20"/>
                <w:lang w:val="en-GB"/>
              </w:rPr>
              <w:lastRenderedPageBreak/>
              <w:t>According to article 74 of Law 1437 of 2011, there is no appeal against decisions of ministers, directors of administrative departments, superintendents, among others officials. Therefore, people do not appeal against SIC's competition decisions - there is not a second adm</w:t>
            </w:r>
            <w:r>
              <w:rPr>
                <w:rFonts w:ascii="Arial" w:hAnsi="Arial" w:cs="Arial"/>
                <w:sz w:val="20"/>
                <w:szCs w:val="20"/>
                <w:lang w:val="en-GB"/>
              </w:rPr>
              <w:t xml:space="preserve">inistrative instance to do so. </w:t>
            </w:r>
          </w:p>
          <w:p w14:paraId="12060284" w14:textId="77777777" w:rsidR="007B7C69" w:rsidRPr="00C3537E" w:rsidRDefault="004908E2" w:rsidP="004908E2">
            <w:pPr>
              <w:spacing w:before="120"/>
              <w:jc w:val="both"/>
              <w:rPr>
                <w:rFonts w:ascii="Arial" w:hAnsi="Arial" w:cs="Arial"/>
                <w:sz w:val="20"/>
                <w:lang w:val="en-GB"/>
              </w:rPr>
            </w:pPr>
            <w:r>
              <w:rPr>
                <w:rFonts w:ascii="Arial" w:hAnsi="Arial" w:cs="Arial"/>
                <w:sz w:val="20"/>
                <w:szCs w:val="20"/>
                <w:lang w:val="en-GB"/>
              </w:rPr>
              <w:lastRenderedPageBreak/>
              <w:t>Final decisions of the SIC can only be challenged by reconsideration petitions, which can be presented before the same person who issued the decision (i.e., the Superintendent of Industry and Commerce).</w:t>
            </w:r>
          </w:p>
        </w:tc>
      </w:tr>
      <w:tr w:rsidR="007B7C69" w:rsidRPr="00C3537E" w14:paraId="0741D5C6" w14:textId="77777777" w:rsidTr="00F87CF4">
        <w:tblPrEx>
          <w:shd w:val="clear" w:color="auto" w:fill="auto"/>
        </w:tblPrEx>
        <w:tc>
          <w:tcPr>
            <w:tcW w:w="3432" w:type="dxa"/>
            <w:tcBorders>
              <w:left w:val="nil"/>
            </w:tcBorders>
            <w:shd w:val="clear" w:color="auto" w:fill="F3DFC3"/>
          </w:tcPr>
          <w:p w14:paraId="5B6659C1" w14:textId="77777777" w:rsidR="007B7C69" w:rsidRPr="00C3537E" w:rsidRDefault="007B7C69" w:rsidP="00F54D28">
            <w:pPr>
              <w:numPr>
                <w:ilvl w:val="0"/>
                <w:numId w:val="22"/>
              </w:numPr>
              <w:spacing w:before="120" w:after="120"/>
              <w:rPr>
                <w:rFonts w:ascii="Arial" w:hAnsi="Arial" w:cs="Arial"/>
                <w:b/>
                <w:sz w:val="20"/>
                <w:lang w:val="en-GB"/>
              </w:rPr>
            </w:pPr>
            <w:r w:rsidRPr="00C3537E">
              <w:rPr>
                <w:rFonts w:ascii="Arial" w:hAnsi="Arial" w:cs="Arial"/>
                <w:b/>
                <w:sz w:val="20"/>
                <w:lang w:val="en-GB"/>
              </w:rPr>
              <w:lastRenderedPageBreak/>
              <w:t xml:space="preserve">Before which court or agency should such a challenge be made? [if the </w:t>
            </w:r>
            <w:r w:rsidRPr="00C3537E">
              <w:rPr>
                <w:rFonts w:ascii="Arial" w:hAnsi="Arial" w:cs="Arial"/>
                <w:b/>
                <w:bCs/>
                <w:sz w:val="20"/>
                <w:lang w:val="en-GB"/>
              </w:rPr>
              <w:t xml:space="preserve">answer to question </w:t>
            </w:r>
            <w:r w:rsidR="00F54D28" w:rsidRPr="00C3537E">
              <w:rPr>
                <w:rFonts w:ascii="Arial" w:hAnsi="Arial" w:cs="Arial"/>
                <w:b/>
                <w:bCs/>
                <w:sz w:val="20"/>
                <w:lang w:val="en-GB"/>
              </w:rPr>
              <w:t>15</w:t>
            </w:r>
            <w:r w:rsidRPr="00C3537E">
              <w:rPr>
                <w:rFonts w:ascii="Arial" w:hAnsi="Arial" w:cs="Arial"/>
                <w:b/>
                <w:bCs/>
                <w:sz w:val="20"/>
                <w:lang w:val="en-GB"/>
              </w:rPr>
              <w:t>/A is affirmative]</w:t>
            </w:r>
          </w:p>
        </w:tc>
        <w:tc>
          <w:tcPr>
            <w:tcW w:w="5830" w:type="dxa"/>
            <w:tcBorders>
              <w:right w:val="nil"/>
            </w:tcBorders>
          </w:tcPr>
          <w:p w14:paraId="008E23A6" w14:textId="77777777" w:rsidR="004908E2" w:rsidRPr="00D33FA8" w:rsidRDefault="004908E2" w:rsidP="004908E2">
            <w:pPr>
              <w:spacing w:before="120"/>
              <w:jc w:val="both"/>
              <w:rPr>
                <w:rFonts w:ascii="Arial" w:hAnsi="Arial" w:cs="Arial"/>
                <w:sz w:val="20"/>
                <w:szCs w:val="20"/>
                <w:lang w:val="en-GB"/>
              </w:rPr>
            </w:pPr>
            <w:r>
              <w:rPr>
                <w:rFonts w:ascii="Arial" w:hAnsi="Arial" w:cs="Arial"/>
                <w:sz w:val="20"/>
                <w:szCs w:val="20"/>
                <w:lang w:val="en-GB"/>
              </w:rPr>
              <w:t>In SIC</w:t>
            </w:r>
            <w:r w:rsidRPr="00D33FA8">
              <w:rPr>
                <w:rFonts w:ascii="Arial" w:hAnsi="Arial" w:cs="Arial"/>
                <w:sz w:val="20"/>
                <w:szCs w:val="20"/>
                <w:lang w:val="en-GB"/>
              </w:rPr>
              <w:t xml:space="preserve"> case</w:t>
            </w:r>
            <w:r>
              <w:rPr>
                <w:rFonts w:ascii="Arial" w:hAnsi="Arial" w:cs="Arial"/>
                <w:sz w:val="20"/>
                <w:szCs w:val="20"/>
                <w:lang w:val="en-GB"/>
              </w:rPr>
              <w:t>s,</w:t>
            </w:r>
            <w:r w:rsidRPr="00D33FA8">
              <w:rPr>
                <w:rFonts w:ascii="Arial" w:hAnsi="Arial" w:cs="Arial"/>
                <w:sz w:val="20"/>
                <w:szCs w:val="20"/>
                <w:lang w:val="en-GB"/>
              </w:rPr>
              <w:t xml:space="preserve"> any party (including recognized third parties) is able to seek judicial review before the Administrative Tribunals through the action of “Declaration of Null</w:t>
            </w:r>
            <w:r>
              <w:rPr>
                <w:rFonts w:ascii="Arial" w:hAnsi="Arial" w:cs="Arial"/>
                <w:sz w:val="20"/>
                <w:szCs w:val="20"/>
                <w:lang w:val="en-GB"/>
              </w:rPr>
              <w:t>ity and Restoration of Rights”.</w:t>
            </w:r>
          </w:p>
          <w:p w14:paraId="67FA454F" w14:textId="77777777" w:rsidR="007B7C69" w:rsidRPr="00C3537E" w:rsidRDefault="004908E2" w:rsidP="004908E2">
            <w:pPr>
              <w:spacing w:before="120"/>
              <w:jc w:val="both"/>
              <w:rPr>
                <w:rFonts w:ascii="Arial" w:hAnsi="Arial" w:cs="Arial"/>
                <w:lang w:val="en-GB"/>
              </w:rPr>
            </w:pPr>
            <w:r w:rsidRPr="00D33FA8">
              <w:rPr>
                <w:rFonts w:ascii="Arial" w:hAnsi="Arial" w:cs="Arial"/>
                <w:sz w:val="20"/>
                <w:szCs w:val="20"/>
                <w:lang w:val="en-GB"/>
              </w:rPr>
              <w:t>Additionally, as a matter of constitutional law, a party (or any other affected person) may immediately seek a judicial writ (Acción de Tutela, or “tutela”) against an agency’s act or omission that violates or threatens to violate the petitioner’s fundamental constitutional rights, if effective protection of the right would be prejudiced by awaiting resolution of the underlying case.</w:t>
            </w:r>
          </w:p>
        </w:tc>
      </w:tr>
    </w:tbl>
    <w:p w14:paraId="03B2C55B" w14:textId="77777777" w:rsidR="007B7C69" w:rsidRDefault="007B7C69">
      <w:pPr>
        <w:pStyle w:val="Textoindependiente"/>
        <w:spacing w:before="120" w:after="120"/>
        <w:ind w:left="0"/>
        <w:rPr>
          <w:rFonts w:ascii="Arial" w:hAnsi="Arial" w:cs="Arial"/>
          <w:lang w:val="en-GB"/>
        </w:rPr>
      </w:pPr>
    </w:p>
    <w:p w14:paraId="7C49DEEA" w14:textId="77777777" w:rsidR="000E51B6" w:rsidRDefault="000E51B6">
      <w:pPr>
        <w:pStyle w:val="Textoindependiente"/>
        <w:spacing w:before="120" w:after="120"/>
        <w:ind w:left="0"/>
        <w:rPr>
          <w:rFonts w:ascii="Arial" w:hAnsi="Arial" w:cs="Arial"/>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000" w:firstRow="0" w:lastRow="0" w:firstColumn="0" w:lastColumn="0" w:noHBand="0" w:noVBand="0"/>
      </w:tblPr>
      <w:tblGrid>
        <w:gridCol w:w="3492"/>
        <w:gridCol w:w="5770"/>
      </w:tblGrid>
      <w:tr w:rsidR="000E51B6" w:rsidRPr="00C3537E" w14:paraId="5E60EB16" w14:textId="77777777" w:rsidTr="00D924C6">
        <w:tc>
          <w:tcPr>
            <w:tcW w:w="9262" w:type="dxa"/>
            <w:gridSpan w:val="2"/>
            <w:shd w:val="clear" w:color="auto" w:fill="61243B"/>
          </w:tcPr>
          <w:p w14:paraId="38F9B351" w14:textId="77777777" w:rsidR="000E51B6" w:rsidRPr="00C3537E" w:rsidRDefault="000E51B6" w:rsidP="000E3F4E">
            <w:pPr>
              <w:pStyle w:val="Ttulo1"/>
              <w:spacing w:before="240"/>
              <w:rPr>
                <w:rFonts w:ascii="Arial" w:hAnsi="Arial" w:cs="Arial"/>
                <w:color w:val="FFFFFF"/>
                <w:sz w:val="28"/>
                <w:lang w:val="en-GB"/>
              </w:rPr>
            </w:pPr>
            <w:r>
              <w:rPr>
                <w:rFonts w:ascii="Arial" w:hAnsi="Arial" w:cs="Arial"/>
                <w:color w:val="FFFFFF"/>
                <w:sz w:val="28"/>
                <w:lang w:val="en-GB"/>
              </w:rPr>
              <w:t>Private enforcement</w:t>
            </w:r>
          </w:p>
        </w:tc>
      </w:tr>
      <w:tr w:rsidR="000E51B6" w:rsidRPr="00C3537E" w14:paraId="594A2CCC" w14:textId="77777777" w:rsidTr="00D924C6">
        <w:tblPrEx>
          <w:shd w:val="clear" w:color="auto" w:fill="auto"/>
        </w:tblPrEx>
        <w:tc>
          <w:tcPr>
            <w:tcW w:w="3492" w:type="dxa"/>
            <w:tcBorders>
              <w:left w:val="nil"/>
              <w:bottom w:val="single" w:sz="4" w:space="0" w:color="auto"/>
            </w:tcBorders>
            <w:shd w:val="clear" w:color="auto" w:fill="F3DFC3"/>
          </w:tcPr>
          <w:p w14:paraId="4727A1D4" w14:textId="77777777" w:rsidR="000E51B6" w:rsidRPr="00AF67AF" w:rsidRDefault="00D16588" w:rsidP="00D1710A">
            <w:pPr>
              <w:numPr>
                <w:ilvl w:val="0"/>
                <w:numId w:val="34"/>
              </w:numPr>
              <w:spacing w:before="120" w:after="120"/>
              <w:rPr>
                <w:rFonts w:ascii="Arial" w:hAnsi="Arial" w:cs="Arial"/>
                <w:b/>
                <w:bCs/>
                <w:sz w:val="20"/>
                <w:lang w:val="en-GB"/>
              </w:rPr>
            </w:pPr>
            <w:r w:rsidRPr="00AF67AF">
              <w:rPr>
                <w:rFonts w:ascii="Arial" w:hAnsi="Arial" w:cs="Arial"/>
                <w:b/>
                <w:bCs/>
                <w:sz w:val="20"/>
                <w:lang w:val="en-GB"/>
              </w:rPr>
              <w:t>Are private enforcement of competition law and private damage claims possible in your jurisdiction? If there is no legal provision for private enforcement and damage claims, what are the reasons for it?</w:t>
            </w:r>
          </w:p>
        </w:tc>
        <w:tc>
          <w:tcPr>
            <w:tcW w:w="5770" w:type="dxa"/>
            <w:tcBorders>
              <w:right w:val="nil"/>
            </w:tcBorders>
          </w:tcPr>
          <w:p w14:paraId="56781F00" w14:textId="77777777" w:rsidR="000E51B6" w:rsidRPr="00E9574F" w:rsidRDefault="004908E2" w:rsidP="00BE22CD">
            <w:pPr>
              <w:spacing w:before="120"/>
              <w:jc w:val="both"/>
              <w:rPr>
                <w:rFonts w:ascii="Arial" w:hAnsi="Arial" w:cs="Arial"/>
                <w:sz w:val="20"/>
                <w:szCs w:val="20"/>
                <w:lang w:val="en-GB"/>
              </w:rPr>
            </w:pPr>
            <w:r w:rsidRPr="00E9574F">
              <w:rPr>
                <w:rFonts w:ascii="Arial" w:hAnsi="Arial" w:cs="Arial"/>
                <w:sz w:val="20"/>
                <w:szCs w:val="20"/>
                <w:lang w:val="en-GB"/>
              </w:rPr>
              <w:t xml:space="preserve">Yes. </w:t>
            </w:r>
            <w:r w:rsidR="00BE22CD" w:rsidRPr="00E9574F">
              <w:rPr>
                <w:rFonts w:ascii="Arial" w:hAnsi="Arial" w:cs="Arial"/>
                <w:sz w:val="20"/>
                <w:szCs w:val="20"/>
                <w:lang w:val="en-GB"/>
              </w:rPr>
              <w:t xml:space="preserve">Any person who considers that has been affected by a cartel might take civil actions against the undertakings involved in the illegal </w:t>
            </w:r>
            <w:r w:rsidR="00D72E13">
              <w:rPr>
                <w:rFonts w:ascii="Arial" w:hAnsi="Arial" w:cs="Arial"/>
                <w:sz w:val="20"/>
                <w:szCs w:val="20"/>
                <w:lang w:val="en-GB"/>
              </w:rPr>
              <w:t>anticompetitive conduct</w:t>
            </w:r>
            <w:r w:rsidR="00BE22CD" w:rsidRPr="00E9574F">
              <w:rPr>
                <w:rFonts w:ascii="Arial" w:hAnsi="Arial" w:cs="Arial"/>
                <w:sz w:val="20"/>
                <w:szCs w:val="20"/>
                <w:lang w:val="en-GB"/>
              </w:rPr>
              <w:t>. For this purpose, people can present class actions (articles 2 and 3 of Law 492 of 1998) or civil liability actions (article 2341 of the Civil Code) before administrative or civil judges, respectively.</w:t>
            </w:r>
          </w:p>
        </w:tc>
      </w:tr>
      <w:tr w:rsidR="004C1048" w:rsidRPr="00C3537E" w14:paraId="53756A24" w14:textId="77777777" w:rsidTr="00D924C6">
        <w:tblPrEx>
          <w:shd w:val="clear" w:color="auto" w:fill="auto"/>
        </w:tblPrEx>
        <w:tc>
          <w:tcPr>
            <w:tcW w:w="3492" w:type="dxa"/>
            <w:tcBorders>
              <w:left w:val="nil"/>
              <w:bottom w:val="single" w:sz="4" w:space="0" w:color="auto"/>
            </w:tcBorders>
            <w:shd w:val="clear" w:color="auto" w:fill="F3DFC3"/>
          </w:tcPr>
          <w:p w14:paraId="0DA57A3C"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Laws regulating private enforcement of competition law in your jurisdiction [indication of the provisions and languages in which these materials are available; availability (homepage address)]</w:t>
            </w:r>
          </w:p>
        </w:tc>
        <w:tc>
          <w:tcPr>
            <w:tcW w:w="5770" w:type="dxa"/>
            <w:tcBorders>
              <w:right w:val="nil"/>
            </w:tcBorders>
          </w:tcPr>
          <w:p w14:paraId="204F0765" w14:textId="3D99EDA1" w:rsidR="004C1048" w:rsidRPr="00B912B6" w:rsidRDefault="004C1048" w:rsidP="00D924C6">
            <w:pPr>
              <w:rPr>
                <w:rFonts w:ascii="Arial" w:hAnsi="Arial" w:cs="Arial"/>
                <w:sz w:val="20"/>
                <w:szCs w:val="20"/>
              </w:rPr>
            </w:pPr>
            <w:r w:rsidRPr="00B912B6">
              <w:rPr>
                <w:rFonts w:ascii="Arial" w:hAnsi="Arial" w:cs="Arial"/>
                <w:sz w:val="20"/>
                <w:szCs w:val="20"/>
                <w:lang w:val="en-GB"/>
              </w:rPr>
              <w:t>Law 4</w:t>
            </w:r>
            <w:r w:rsidR="00D924C6">
              <w:rPr>
                <w:rFonts w:ascii="Arial" w:hAnsi="Arial" w:cs="Arial"/>
                <w:sz w:val="20"/>
                <w:szCs w:val="20"/>
                <w:lang w:val="en-GB"/>
              </w:rPr>
              <w:t>7</w:t>
            </w:r>
            <w:r w:rsidRPr="00B912B6">
              <w:rPr>
                <w:rFonts w:ascii="Arial" w:hAnsi="Arial" w:cs="Arial"/>
                <w:sz w:val="20"/>
                <w:szCs w:val="20"/>
                <w:lang w:val="en-GB"/>
              </w:rPr>
              <w:t>2 of 1998</w:t>
            </w:r>
            <w:r w:rsidR="00B912B6" w:rsidRPr="00B912B6">
              <w:rPr>
                <w:rFonts w:ascii="Arial" w:hAnsi="Arial" w:cs="Arial"/>
                <w:sz w:val="20"/>
                <w:szCs w:val="20"/>
                <w:lang w:val="en-GB"/>
              </w:rPr>
              <w:t xml:space="preserve"> (</w:t>
            </w:r>
            <w:r w:rsidR="00B912B6">
              <w:rPr>
                <w:rFonts w:ascii="Arial" w:hAnsi="Arial" w:cs="Arial"/>
                <w:sz w:val="20"/>
                <w:szCs w:val="20"/>
                <w:lang w:val="en-GB"/>
              </w:rPr>
              <w:t>R</w:t>
            </w:r>
            <w:r w:rsidR="00B912B6" w:rsidRPr="00B912B6">
              <w:rPr>
                <w:rFonts w:ascii="Arial" w:hAnsi="Arial" w:cs="Arial"/>
                <w:sz w:val="20"/>
                <w:szCs w:val="20"/>
                <w:lang w:val="en-GB"/>
              </w:rPr>
              <w:t>egulate the exercise of class actions)</w:t>
            </w:r>
            <w:r w:rsidRPr="00B912B6">
              <w:rPr>
                <w:rFonts w:ascii="Arial" w:hAnsi="Arial" w:cs="Arial"/>
                <w:sz w:val="20"/>
                <w:szCs w:val="20"/>
                <w:lang w:val="en-GB"/>
              </w:rPr>
              <w:t xml:space="preserve">. Available on: </w:t>
            </w:r>
            <w:hyperlink r:id="rId42" w:history="1">
              <w:r w:rsidR="00B912B6" w:rsidRPr="00B912B6">
                <w:rPr>
                  <w:rStyle w:val="Hipervnculo"/>
                  <w:rFonts w:ascii="Arial" w:hAnsi="Arial" w:cs="Arial"/>
                  <w:sz w:val="20"/>
                  <w:szCs w:val="20"/>
                </w:rPr>
                <w:t>http://www.secretariasenado.gov.co/senado/basedoc/ley_0472_1998.html</w:t>
              </w:r>
            </w:hyperlink>
            <w:r w:rsidR="00CE4A58">
              <w:t xml:space="preserve"> </w:t>
            </w:r>
            <w:r w:rsidRPr="00B912B6">
              <w:rPr>
                <w:rFonts w:ascii="Arial" w:hAnsi="Arial" w:cs="Arial"/>
                <w:sz w:val="20"/>
                <w:szCs w:val="20"/>
                <w:lang w:val="en-GB"/>
              </w:rPr>
              <w:t>(Spanish)</w:t>
            </w:r>
          </w:p>
          <w:p w14:paraId="12DB7EFE" w14:textId="77777777" w:rsidR="004C1048" w:rsidRPr="00B912B6" w:rsidRDefault="004C1048" w:rsidP="004C1048">
            <w:pPr>
              <w:jc w:val="both"/>
              <w:rPr>
                <w:rFonts w:ascii="Arial" w:hAnsi="Arial" w:cs="Arial"/>
                <w:sz w:val="20"/>
                <w:szCs w:val="20"/>
                <w:lang w:val="en-GB"/>
              </w:rPr>
            </w:pPr>
          </w:p>
          <w:p w14:paraId="09A38CD3" w14:textId="77777777" w:rsidR="004C1048" w:rsidRPr="00B912B6" w:rsidRDefault="00B912B6" w:rsidP="00D924C6">
            <w:pPr>
              <w:rPr>
                <w:rFonts w:ascii="Arial" w:hAnsi="Arial" w:cs="Arial"/>
                <w:sz w:val="20"/>
                <w:szCs w:val="20"/>
              </w:rPr>
            </w:pPr>
            <w:r w:rsidRPr="00B912B6">
              <w:rPr>
                <w:rFonts w:ascii="Arial" w:hAnsi="Arial" w:cs="Arial"/>
                <w:sz w:val="20"/>
                <w:szCs w:val="20"/>
                <w:lang w:val="en-GB"/>
              </w:rPr>
              <w:t>Law 84 of 1873</w:t>
            </w:r>
            <w:r w:rsidR="004C1048" w:rsidRPr="00B912B6">
              <w:rPr>
                <w:rFonts w:ascii="Arial" w:hAnsi="Arial" w:cs="Arial"/>
                <w:sz w:val="20"/>
                <w:szCs w:val="20"/>
                <w:lang w:val="en-GB"/>
              </w:rPr>
              <w:t xml:space="preserve"> (</w:t>
            </w:r>
            <w:r>
              <w:rPr>
                <w:rFonts w:ascii="Arial" w:hAnsi="Arial" w:cs="Arial"/>
                <w:sz w:val="20"/>
                <w:szCs w:val="20"/>
                <w:lang w:val="en-GB"/>
              </w:rPr>
              <w:t>A</w:t>
            </w:r>
            <w:r w:rsidR="004C1048" w:rsidRPr="00B912B6">
              <w:rPr>
                <w:rFonts w:ascii="Arial" w:hAnsi="Arial" w:cs="Arial"/>
                <w:sz w:val="20"/>
                <w:szCs w:val="20"/>
                <w:lang w:val="en-GB"/>
              </w:rPr>
              <w:t xml:space="preserve">rticle </w:t>
            </w:r>
            <w:r w:rsidRPr="00B912B6">
              <w:rPr>
                <w:rFonts w:ascii="Arial" w:hAnsi="Arial" w:cs="Arial"/>
                <w:sz w:val="20"/>
                <w:szCs w:val="20"/>
                <w:lang w:val="en-GB"/>
              </w:rPr>
              <w:t>2341</w:t>
            </w:r>
            <w:r w:rsidR="00AF67AF">
              <w:rPr>
                <w:rFonts w:ascii="Arial" w:hAnsi="Arial" w:cs="Arial"/>
                <w:sz w:val="20"/>
                <w:szCs w:val="20"/>
                <w:lang w:val="en-GB"/>
              </w:rPr>
              <w:t xml:space="preserve"> and those following</w:t>
            </w:r>
            <w:r w:rsidR="004C1048" w:rsidRPr="00B912B6">
              <w:rPr>
                <w:rFonts w:ascii="Arial" w:hAnsi="Arial" w:cs="Arial"/>
                <w:sz w:val="20"/>
                <w:szCs w:val="20"/>
                <w:lang w:val="en-GB"/>
              </w:rPr>
              <w:t xml:space="preserve">: </w:t>
            </w:r>
            <w:r w:rsidR="00AF67AF">
              <w:rPr>
                <w:rFonts w:ascii="Arial" w:hAnsi="Arial" w:cs="Arial"/>
                <w:sz w:val="20"/>
                <w:szCs w:val="20"/>
                <w:lang w:val="en-GB"/>
              </w:rPr>
              <w:t>N</w:t>
            </w:r>
            <w:r w:rsidRPr="00B912B6">
              <w:rPr>
                <w:rFonts w:ascii="Arial" w:hAnsi="Arial" w:cs="Arial"/>
                <w:sz w:val="20"/>
                <w:szCs w:val="20"/>
                <w:lang w:val="en-GB"/>
              </w:rPr>
              <w:t>on-contractual liability</w:t>
            </w:r>
            <w:r w:rsidR="00AF67AF">
              <w:rPr>
                <w:rFonts w:ascii="Arial" w:hAnsi="Arial" w:cs="Arial"/>
                <w:sz w:val="20"/>
                <w:szCs w:val="20"/>
                <w:lang w:val="en-GB"/>
              </w:rPr>
              <w:t xml:space="preserve"> and civil actions</w:t>
            </w:r>
            <w:r w:rsidR="004C1048" w:rsidRPr="00B912B6">
              <w:rPr>
                <w:rFonts w:ascii="Arial" w:hAnsi="Arial" w:cs="Arial"/>
                <w:sz w:val="20"/>
                <w:szCs w:val="20"/>
                <w:lang w:val="en-GB"/>
              </w:rPr>
              <w:t xml:space="preserve">). Available on: </w:t>
            </w:r>
            <w:hyperlink r:id="rId43" w:anchor="2341" w:history="1">
              <w:r w:rsidRPr="00B912B6">
                <w:rPr>
                  <w:rStyle w:val="Hipervnculo"/>
                  <w:rFonts w:ascii="Arial" w:hAnsi="Arial" w:cs="Arial"/>
                  <w:sz w:val="20"/>
                  <w:szCs w:val="20"/>
                </w:rPr>
                <w:t>http://www.secretariasenado.gov.co/senado/basedoc/codigo_civil_pr073.html#2341</w:t>
              </w:r>
            </w:hyperlink>
            <w:r w:rsidR="00CE4A58">
              <w:t xml:space="preserve"> </w:t>
            </w:r>
            <w:r w:rsidR="004C1048" w:rsidRPr="00B912B6">
              <w:rPr>
                <w:rFonts w:ascii="Arial" w:hAnsi="Arial" w:cs="Arial"/>
                <w:sz w:val="20"/>
                <w:szCs w:val="20"/>
                <w:lang w:val="en-GB"/>
              </w:rPr>
              <w:t xml:space="preserve">(Spanish). </w:t>
            </w:r>
          </w:p>
          <w:p w14:paraId="625E371E" w14:textId="77777777" w:rsidR="004C1048" w:rsidRPr="00B912B6" w:rsidRDefault="004C1048" w:rsidP="004C1048">
            <w:pPr>
              <w:tabs>
                <w:tab w:val="left" w:pos="1906"/>
              </w:tabs>
              <w:spacing w:before="120"/>
              <w:rPr>
                <w:rFonts w:ascii="Arial" w:hAnsi="Arial" w:cs="Arial"/>
                <w:sz w:val="20"/>
                <w:szCs w:val="20"/>
                <w:lang w:val="en-GB"/>
              </w:rPr>
            </w:pPr>
          </w:p>
        </w:tc>
      </w:tr>
      <w:tr w:rsidR="004C1048" w:rsidRPr="00C3537E" w14:paraId="5BCC32EB" w14:textId="77777777" w:rsidTr="00D924C6">
        <w:tblPrEx>
          <w:shd w:val="clear" w:color="auto" w:fill="auto"/>
        </w:tblPrEx>
        <w:tc>
          <w:tcPr>
            <w:tcW w:w="3492" w:type="dxa"/>
            <w:tcBorders>
              <w:left w:val="nil"/>
            </w:tcBorders>
            <w:shd w:val="clear" w:color="auto" w:fill="F3DFC3"/>
          </w:tcPr>
          <w:p w14:paraId="5A75C4AA"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Implementing regulation(s) on private enforcement (if any): [name and reference number, availability (homepage address) and indication of the languages in which these materials are available]</w:t>
            </w:r>
          </w:p>
        </w:tc>
        <w:tc>
          <w:tcPr>
            <w:tcW w:w="5770" w:type="dxa"/>
            <w:tcBorders>
              <w:right w:val="nil"/>
            </w:tcBorders>
          </w:tcPr>
          <w:p w14:paraId="73068293" w14:textId="77777777" w:rsidR="004C1048" w:rsidRPr="00C3537E" w:rsidRDefault="00D72E13" w:rsidP="004C1048">
            <w:pPr>
              <w:spacing w:before="120"/>
              <w:rPr>
                <w:rFonts w:ascii="Arial" w:hAnsi="Arial" w:cs="Arial"/>
                <w:lang w:val="en-GB"/>
              </w:rPr>
            </w:pPr>
            <w:r>
              <w:rPr>
                <w:rFonts w:ascii="Arial" w:hAnsi="Arial" w:cs="Arial"/>
                <w:sz w:val="20"/>
                <w:szCs w:val="20"/>
                <w:lang w:val="en-GB"/>
              </w:rPr>
              <w:t xml:space="preserve">No. </w:t>
            </w:r>
          </w:p>
        </w:tc>
      </w:tr>
      <w:tr w:rsidR="004C1048" w:rsidRPr="00C3537E" w14:paraId="3982A71F" w14:textId="77777777" w:rsidTr="00D924C6">
        <w:tblPrEx>
          <w:shd w:val="clear" w:color="auto" w:fill="auto"/>
        </w:tblPrEx>
        <w:tc>
          <w:tcPr>
            <w:tcW w:w="3492" w:type="dxa"/>
            <w:tcBorders>
              <w:left w:val="nil"/>
            </w:tcBorders>
            <w:shd w:val="clear" w:color="auto" w:fill="F3DFC3"/>
          </w:tcPr>
          <w:p w14:paraId="43CA4267"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On what grounds can a private antitrust cause of action arise? / In what types of antitrust matters are private actions available?</w:t>
            </w:r>
          </w:p>
        </w:tc>
        <w:tc>
          <w:tcPr>
            <w:tcW w:w="5770" w:type="dxa"/>
            <w:tcBorders>
              <w:right w:val="nil"/>
            </w:tcBorders>
          </w:tcPr>
          <w:p w14:paraId="41624BE0" w14:textId="77777777" w:rsidR="009532C6" w:rsidRDefault="00B912B6" w:rsidP="009532C6">
            <w:pPr>
              <w:spacing w:before="120"/>
              <w:jc w:val="both"/>
              <w:rPr>
                <w:rFonts w:ascii="Arial" w:hAnsi="Arial" w:cs="Arial"/>
                <w:sz w:val="20"/>
                <w:lang w:val="en-GB"/>
              </w:rPr>
            </w:pPr>
            <w:r>
              <w:rPr>
                <w:rFonts w:ascii="Arial" w:hAnsi="Arial" w:cs="Arial"/>
                <w:sz w:val="20"/>
                <w:lang w:val="en-GB"/>
              </w:rPr>
              <w:t xml:space="preserve">The private </w:t>
            </w:r>
            <w:r w:rsidR="009532C6">
              <w:rPr>
                <w:rFonts w:ascii="Arial" w:hAnsi="Arial" w:cs="Arial"/>
                <w:sz w:val="20"/>
                <w:lang w:val="en-GB"/>
              </w:rPr>
              <w:t xml:space="preserve">competition </w:t>
            </w:r>
            <w:r>
              <w:rPr>
                <w:rFonts w:ascii="Arial" w:hAnsi="Arial" w:cs="Arial"/>
                <w:sz w:val="20"/>
                <w:lang w:val="en-GB"/>
              </w:rPr>
              <w:t xml:space="preserve">enforcement </w:t>
            </w:r>
            <w:r w:rsidR="009532C6" w:rsidRPr="009532C6">
              <w:rPr>
                <w:rFonts w:ascii="Arial" w:hAnsi="Arial" w:cs="Arial"/>
                <w:sz w:val="20"/>
                <w:lang w:val="en-GB"/>
              </w:rPr>
              <w:t>may be made in relation to</w:t>
            </w:r>
            <w:r w:rsidR="009532C6">
              <w:rPr>
                <w:rFonts w:ascii="Arial" w:hAnsi="Arial" w:cs="Arial"/>
                <w:sz w:val="20"/>
                <w:lang w:val="en-GB"/>
              </w:rPr>
              <w:t xml:space="preserve"> any anticompetitive conduct. In that sense, the </w:t>
            </w:r>
            <w:r w:rsidR="00E9574F">
              <w:rPr>
                <w:rFonts w:ascii="Arial" w:hAnsi="Arial" w:cs="Arial"/>
                <w:sz w:val="20"/>
                <w:lang w:val="en-GB"/>
              </w:rPr>
              <w:t xml:space="preserve">class actions may be initiated by a group of people that considers exists a harm to the free competition as a collective right. On the other hand, the civil actions may be initiated by </w:t>
            </w:r>
            <w:r w:rsidR="00E9574F" w:rsidRPr="00E9574F">
              <w:rPr>
                <w:rFonts w:ascii="Arial" w:hAnsi="Arial" w:cs="Arial"/>
                <w:sz w:val="20"/>
                <w:lang w:val="en-GB"/>
              </w:rPr>
              <w:t>anyone who has suffered damage because of a</w:t>
            </w:r>
            <w:r w:rsidR="00E9574F">
              <w:rPr>
                <w:rFonts w:ascii="Arial" w:hAnsi="Arial" w:cs="Arial"/>
                <w:sz w:val="20"/>
                <w:lang w:val="en-GB"/>
              </w:rPr>
              <w:t>n anticompetitive conduct.</w:t>
            </w:r>
          </w:p>
          <w:p w14:paraId="73059DC6" w14:textId="77777777" w:rsidR="004C1048" w:rsidRPr="00C3537E" w:rsidRDefault="004C1048" w:rsidP="004C1048">
            <w:pPr>
              <w:spacing w:before="120"/>
              <w:rPr>
                <w:rFonts w:ascii="Arial" w:hAnsi="Arial" w:cs="Arial"/>
                <w:sz w:val="20"/>
                <w:lang w:val="en-GB"/>
              </w:rPr>
            </w:pPr>
          </w:p>
        </w:tc>
      </w:tr>
      <w:tr w:rsidR="004C1048" w:rsidRPr="00C3537E" w14:paraId="161B36BA" w14:textId="77777777" w:rsidTr="00D924C6">
        <w:tblPrEx>
          <w:shd w:val="clear" w:color="auto" w:fill="auto"/>
        </w:tblPrEx>
        <w:tc>
          <w:tcPr>
            <w:tcW w:w="3492" w:type="dxa"/>
            <w:tcBorders>
              <w:left w:val="nil"/>
            </w:tcBorders>
            <w:shd w:val="clear" w:color="auto" w:fill="F3DFC3"/>
          </w:tcPr>
          <w:p w14:paraId="64522335"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lastRenderedPageBreak/>
              <w:t>What pleading standards must the plaintiff meet to file a stand-alone or follow-on claim?</w:t>
            </w:r>
          </w:p>
          <w:p w14:paraId="3E1D8504"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is a finding of infringement by a competition agency required to initiate a private antitrust action in your jurisdiction? What is the effect of a finding of infringement by a competition agency on national courts/tribunals?</w:t>
            </w:r>
          </w:p>
          <w:p w14:paraId="0D84BF5A"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if a finding of infringement by competition authority is required, is it also required that decision to be judicially finalised?</w:t>
            </w:r>
          </w:p>
        </w:tc>
        <w:tc>
          <w:tcPr>
            <w:tcW w:w="5770" w:type="dxa"/>
            <w:tcBorders>
              <w:right w:val="nil"/>
            </w:tcBorders>
          </w:tcPr>
          <w:p w14:paraId="38AD8B74" w14:textId="77777777" w:rsidR="004C1048" w:rsidRDefault="00E9574F" w:rsidP="00E9574F">
            <w:pPr>
              <w:spacing w:before="120"/>
              <w:jc w:val="both"/>
              <w:rPr>
                <w:rFonts w:ascii="Arial" w:hAnsi="Arial" w:cs="Arial"/>
                <w:sz w:val="20"/>
                <w:lang w:val="en-GB"/>
              </w:rPr>
            </w:pPr>
            <w:r w:rsidRPr="00E9574F">
              <w:rPr>
                <w:rFonts w:ascii="Arial" w:hAnsi="Arial" w:cs="Arial"/>
                <w:sz w:val="20"/>
                <w:lang w:val="en-GB"/>
              </w:rPr>
              <w:t xml:space="preserve">There is not necessary </w:t>
            </w:r>
            <w:r w:rsidR="004C1048" w:rsidRPr="00E9574F">
              <w:rPr>
                <w:rFonts w:ascii="Arial" w:hAnsi="Arial" w:cs="Arial"/>
                <w:sz w:val="20"/>
                <w:lang w:val="en-GB"/>
              </w:rPr>
              <w:t>a finding of infringement by a competition agency required to initiate a private antitrust action</w:t>
            </w:r>
            <w:r>
              <w:rPr>
                <w:rFonts w:ascii="Arial" w:hAnsi="Arial" w:cs="Arial"/>
                <w:sz w:val="20"/>
                <w:lang w:val="en-GB"/>
              </w:rPr>
              <w:t xml:space="preserve">. In that event the plaintiff must prove the anticompetitive behaviour, and </w:t>
            </w:r>
            <w:r w:rsidR="000B76C1">
              <w:rPr>
                <w:rFonts w:ascii="Arial" w:hAnsi="Arial" w:cs="Arial"/>
                <w:sz w:val="20"/>
                <w:lang w:val="en-GB"/>
              </w:rPr>
              <w:t xml:space="preserve">the damages suffered because of that. If exist a </w:t>
            </w:r>
            <w:r w:rsidR="000B76C1" w:rsidRPr="00E9574F">
              <w:rPr>
                <w:rFonts w:ascii="Arial" w:hAnsi="Arial" w:cs="Arial"/>
                <w:sz w:val="20"/>
                <w:lang w:val="en-GB"/>
              </w:rPr>
              <w:t>finding of infringement by a competition agency</w:t>
            </w:r>
            <w:r w:rsidR="000B76C1">
              <w:rPr>
                <w:rFonts w:ascii="Arial" w:hAnsi="Arial" w:cs="Arial"/>
                <w:sz w:val="20"/>
                <w:lang w:val="en-GB"/>
              </w:rPr>
              <w:t xml:space="preserve"> the judge must make an </w:t>
            </w:r>
            <w:r w:rsidR="000B76C1" w:rsidRPr="000B76C1">
              <w:rPr>
                <w:rFonts w:ascii="Arial" w:hAnsi="Arial" w:cs="Arial"/>
                <w:sz w:val="20"/>
                <w:lang w:val="en-GB"/>
              </w:rPr>
              <w:t>evidentiary assessmen</w:t>
            </w:r>
            <w:r w:rsidR="000B76C1">
              <w:rPr>
                <w:rFonts w:ascii="Arial" w:hAnsi="Arial" w:cs="Arial"/>
                <w:sz w:val="20"/>
                <w:lang w:val="en-GB"/>
              </w:rPr>
              <w:t>t for the conclusions of the authorit</w:t>
            </w:r>
            <w:r w:rsidR="00D72E13">
              <w:rPr>
                <w:rFonts w:ascii="Arial" w:hAnsi="Arial" w:cs="Arial"/>
                <w:sz w:val="20"/>
                <w:lang w:val="en-GB"/>
              </w:rPr>
              <w:t>y</w:t>
            </w:r>
            <w:r w:rsidR="000B76C1">
              <w:rPr>
                <w:rFonts w:ascii="Arial" w:hAnsi="Arial" w:cs="Arial"/>
                <w:sz w:val="20"/>
                <w:lang w:val="en-GB"/>
              </w:rPr>
              <w:t xml:space="preserve">, as well as evidence material assess. </w:t>
            </w:r>
          </w:p>
          <w:p w14:paraId="74CBBDF9" w14:textId="77777777" w:rsidR="000B76C1" w:rsidRPr="00E9574F" w:rsidRDefault="000B76C1" w:rsidP="00E9574F">
            <w:pPr>
              <w:spacing w:before="120"/>
              <w:jc w:val="both"/>
              <w:rPr>
                <w:rFonts w:ascii="Arial" w:hAnsi="Arial" w:cs="Arial"/>
                <w:sz w:val="20"/>
                <w:lang w:val="en-GB"/>
              </w:rPr>
            </w:pPr>
          </w:p>
          <w:p w14:paraId="4743FBAF" w14:textId="77777777" w:rsidR="004C1048" w:rsidRPr="00C3537E" w:rsidRDefault="004C1048" w:rsidP="004C1048">
            <w:pPr>
              <w:spacing w:before="120"/>
              <w:rPr>
                <w:rFonts w:ascii="Arial" w:hAnsi="Arial" w:cs="Arial"/>
                <w:sz w:val="20"/>
                <w:lang w:val="en-GB"/>
              </w:rPr>
            </w:pPr>
          </w:p>
        </w:tc>
      </w:tr>
      <w:tr w:rsidR="004C1048" w:rsidRPr="00C3537E" w14:paraId="4375780A" w14:textId="77777777" w:rsidTr="00D924C6">
        <w:tblPrEx>
          <w:shd w:val="clear" w:color="auto" w:fill="auto"/>
        </w:tblPrEx>
        <w:tc>
          <w:tcPr>
            <w:tcW w:w="3492" w:type="dxa"/>
            <w:tcBorders>
              <w:left w:val="nil"/>
            </w:tcBorders>
            <w:shd w:val="clear" w:color="auto" w:fill="F3DFC3"/>
          </w:tcPr>
          <w:p w14:paraId="2D0F425B"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Are private actions available where there has been a criminal conviction in respect of the same matter?</w:t>
            </w:r>
          </w:p>
        </w:tc>
        <w:tc>
          <w:tcPr>
            <w:tcW w:w="5770" w:type="dxa"/>
            <w:tcBorders>
              <w:right w:val="nil"/>
            </w:tcBorders>
          </w:tcPr>
          <w:p w14:paraId="3D716D28" w14:textId="77777777" w:rsidR="004C1048" w:rsidRPr="00C3537E" w:rsidRDefault="000B76C1" w:rsidP="00E0642D">
            <w:pPr>
              <w:spacing w:before="120"/>
              <w:jc w:val="both"/>
              <w:rPr>
                <w:rFonts w:ascii="Arial" w:hAnsi="Arial" w:cs="Arial"/>
                <w:sz w:val="20"/>
                <w:lang w:val="en-GB"/>
              </w:rPr>
            </w:pPr>
            <w:r>
              <w:rPr>
                <w:rFonts w:ascii="Arial" w:hAnsi="Arial" w:cs="Arial"/>
                <w:sz w:val="20"/>
                <w:lang w:val="en-GB"/>
              </w:rPr>
              <w:t xml:space="preserve">The private </w:t>
            </w:r>
            <w:r w:rsidRPr="00E0642D">
              <w:rPr>
                <w:rFonts w:ascii="Arial" w:hAnsi="Arial" w:cs="Arial"/>
                <w:sz w:val="20"/>
                <w:szCs w:val="20"/>
                <w:lang w:val="en-GB"/>
              </w:rPr>
              <w:t xml:space="preserve">claims in the framework of a criminal conviction has a specific stage in the criminal process. </w:t>
            </w:r>
            <w:r w:rsidR="00E0642D" w:rsidRPr="00E0642D">
              <w:rPr>
                <w:rFonts w:ascii="Arial" w:hAnsi="Arial" w:cs="Arial"/>
                <w:sz w:val="20"/>
                <w:szCs w:val="20"/>
                <w:lang w:val="en-GB"/>
              </w:rPr>
              <w:t>This stage is named as Integral Remediation Incident and allows</w:t>
            </w:r>
            <w:r w:rsidR="00E0642D" w:rsidRPr="00E0642D">
              <w:rPr>
                <w:rFonts w:ascii="Arial" w:hAnsi="Arial" w:cs="Arial"/>
                <w:sz w:val="20"/>
                <w:szCs w:val="20"/>
              </w:rPr>
              <w:t xml:space="preserve"> the</w:t>
            </w:r>
            <w:r w:rsidR="00E0642D" w:rsidRPr="00E0642D">
              <w:rPr>
                <w:rFonts w:ascii="Arial" w:hAnsi="Arial" w:cs="Arial"/>
                <w:sz w:val="20"/>
                <w:lang w:val="en-GB"/>
              </w:rPr>
              <w:t>repair of the damage caused</w:t>
            </w:r>
            <w:r w:rsidR="008771CC">
              <w:rPr>
                <w:rFonts w:ascii="Arial" w:hAnsi="Arial" w:cs="Arial"/>
                <w:sz w:val="20"/>
                <w:lang w:val="en-GB"/>
              </w:rPr>
              <w:t xml:space="preserve"> </w:t>
            </w:r>
            <w:r w:rsidR="00E0642D" w:rsidRPr="00E0642D">
              <w:rPr>
                <w:rFonts w:ascii="Arial" w:hAnsi="Arial" w:cs="Arial"/>
                <w:sz w:val="20"/>
                <w:lang w:val="en-GB"/>
              </w:rPr>
              <w:t>with criminal conduct</w:t>
            </w:r>
            <w:r w:rsidR="00E0642D">
              <w:rPr>
                <w:rFonts w:ascii="Arial" w:hAnsi="Arial" w:cs="Arial"/>
                <w:sz w:val="20"/>
                <w:lang w:val="en-GB"/>
              </w:rPr>
              <w:t xml:space="preserve">. This stage is regulated by the Chapter </w:t>
            </w:r>
            <w:r w:rsidR="00D72E13">
              <w:rPr>
                <w:rFonts w:ascii="Arial" w:hAnsi="Arial" w:cs="Arial"/>
                <w:sz w:val="20"/>
                <w:lang w:val="en-GB"/>
              </w:rPr>
              <w:t xml:space="preserve">IV </w:t>
            </w:r>
            <w:r w:rsidR="00E0642D">
              <w:rPr>
                <w:rFonts w:ascii="Arial" w:hAnsi="Arial" w:cs="Arial"/>
                <w:sz w:val="20"/>
                <w:lang w:val="en-GB"/>
              </w:rPr>
              <w:t>of Law 906 of 2004 (Criminal P</w:t>
            </w:r>
            <w:r w:rsidR="002A245C">
              <w:rPr>
                <w:rFonts w:ascii="Arial" w:hAnsi="Arial" w:cs="Arial"/>
                <w:sz w:val="20"/>
                <w:lang w:val="en-GB"/>
              </w:rPr>
              <w:t>rocedure</w:t>
            </w:r>
            <w:r w:rsidR="00E0642D">
              <w:rPr>
                <w:rFonts w:ascii="Arial" w:hAnsi="Arial" w:cs="Arial"/>
                <w:sz w:val="20"/>
                <w:lang w:val="en-GB"/>
              </w:rPr>
              <w:t xml:space="preserve"> Code). </w:t>
            </w:r>
          </w:p>
        </w:tc>
      </w:tr>
      <w:tr w:rsidR="004C1048" w:rsidRPr="00C3537E" w14:paraId="72DF8C80" w14:textId="77777777" w:rsidTr="00D924C6">
        <w:tblPrEx>
          <w:shd w:val="clear" w:color="auto" w:fill="auto"/>
        </w:tblPrEx>
        <w:tc>
          <w:tcPr>
            <w:tcW w:w="3492" w:type="dxa"/>
            <w:tcBorders>
              <w:left w:val="nil"/>
            </w:tcBorders>
            <w:shd w:val="clear" w:color="auto" w:fill="F3DFC3"/>
          </w:tcPr>
          <w:p w14:paraId="0C8AEFAD"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Do immunity or leniency applicants in competition investigations receive any beneficial treatment in follow-on private damages cases?</w:t>
            </w:r>
          </w:p>
        </w:tc>
        <w:tc>
          <w:tcPr>
            <w:tcW w:w="5770" w:type="dxa"/>
            <w:tcBorders>
              <w:right w:val="nil"/>
            </w:tcBorders>
          </w:tcPr>
          <w:p w14:paraId="491983BC" w14:textId="77777777" w:rsidR="004C1048" w:rsidRPr="00C3537E" w:rsidRDefault="004C1048" w:rsidP="009532C6">
            <w:pPr>
              <w:spacing w:before="120"/>
              <w:jc w:val="both"/>
              <w:rPr>
                <w:rFonts w:ascii="Arial" w:hAnsi="Arial" w:cs="Arial"/>
                <w:sz w:val="20"/>
                <w:lang w:val="en-GB"/>
              </w:rPr>
            </w:pPr>
            <w:r>
              <w:rPr>
                <w:rFonts w:ascii="Arial" w:hAnsi="Arial" w:cs="Arial"/>
                <w:sz w:val="20"/>
                <w:lang w:val="en-GB"/>
              </w:rPr>
              <w:t xml:space="preserve">No. The Decree 1523 od 2015 do not have a provision in that </w:t>
            </w:r>
            <w:r w:rsidR="009532C6">
              <w:rPr>
                <w:rFonts w:ascii="Arial" w:hAnsi="Arial" w:cs="Arial"/>
                <w:sz w:val="20"/>
                <w:lang w:val="en-GB"/>
              </w:rPr>
              <w:t>sense</w:t>
            </w:r>
            <w:r>
              <w:rPr>
                <w:rFonts w:ascii="Arial" w:hAnsi="Arial" w:cs="Arial"/>
                <w:sz w:val="20"/>
                <w:lang w:val="en-GB"/>
              </w:rPr>
              <w:t>.</w:t>
            </w:r>
          </w:p>
        </w:tc>
      </w:tr>
      <w:tr w:rsidR="004C1048" w:rsidRPr="00C3537E" w14:paraId="12FA1846" w14:textId="77777777" w:rsidTr="00D924C6">
        <w:tblPrEx>
          <w:shd w:val="clear" w:color="auto" w:fill="auto"/>
        </w:tblPrEx>
        <w:tc>
          <w:tcPr>
            <w:tcW w:w="3492" w:type="dxa"/>
            <w:tcBorders>
              <w:left w:val="nil"/>
            </w:tcBorders>
            <w:shd w:val="clear" w:color="auto" w:fill="F3DFC3"/>
          </w:tcPr>
          <w:p w14:paraId="051DF61A"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Name and address of specialised court (if any) where private enforcement claims may be submitted to</w:t>
            </w:r>
          </w:p>
        </w:tc>
        <w:tc>
          <w:tcPr>
            <w:tcW w:w="5770" w:type="dxa"/>
            <w:tcBorders>
              <w:right w:val="nil"/>
            </w:tcBorders>
          </w:tcPr>
          <w:p w14:paraId="6976F0A0" w14:textId="77777777" w:rsidR="004C1048" w:rsidRDefault="00D72E13" w:rsidP="00E0642D">
            <w:pPr>
              <w:spacing w:before="120"/>
              <w:jc w:val="both"/>
              <w:rPr>
                <w:rFonts w:ascii="Arial" w:hAnsi="Arial" w:cs="Arial"/>
                <w:sz w:val="20"/>
                <w:lang w:val="en-GB"/>
              </w:rPr>
            </w:pPr>
            <w:r>
              <w:rPr>
                <w:rFonts w:ascii="Arial" w:hAnsi="Arial" w:cs="Arial"/>
                <w:sz w:val="20"/>
                <w:lang w:val="en-GB"/>
              </w:rPr>
              <w:t xml:space="preserve">The is not a specialised Court for antitrust issues. However the private claims can be presented to </w:t>
            </w:r>
            <w:r w:rsidR="00E0642D">
              <w:rPr>
                <w:rFonts w:ascii="Arial" w:hAnsi="Arial" w:cs="Arial"/>
                <w:sz w:val="20"/>
                <w:lang w:val="en-GB"/>
              </w:rPr>
              <w:t xml:space="preserve">Administrative </w:t>
            </w:r>
            <w:r>
              <w:rPr>
                <w:rFonts w:ascii="Arial" w:hAnsi="Arial" w:cs="Arial"/>
                <w:sz w:val="20"/>
                <w:lang w:val="en-GB"/>
              </w:rPr>
              <w:t>or</w:t>
            </w:r>
            <w:r w:rsidR="00E0642D">
              <w:rPr>
                <w:rFonts w:ascii="Arial" w:hAnsi="Arial" w:cs="Arial"/>
                <w:sz w:val="20"/>
                <w:lang w:val="en-GB"/>
              </w:rPr>
              <w:t xml:space="preserve"> Civil judges. The class and civil actions must be presented before de distribution centre of the judicial branch</w:t>
            </w:r>
            <w:r w:rsidR="004C1048">
              <w:rPr>
                <w:rFonts w:ascii="Arial" w:hAnsi="Arial" w:cs="Arial"/>
                <w:sz w:val="20"/>
                <w:lang w:val="en-GB"/>
              </w:rPr>
              <w:t>.</w:t>
            </w:r>
          </w:p>
        </w:tc>
      </w:tr>
      <w:tr w:rsidR="004C1048" w:rsidRPr="00C3537E" w14:paraId="5E862E5F" w14:textId="77777777" w:rsidTr="00D924C6">
        <w:tblPrEx>
          <w:shd w:val="clear" w:color="auto" w:fill="auto"/>
        </w:tblPrEx>
        <w:tc>
          <w:tcPr>
            <w:tcW w:w="3492" w:type="dxa"/>
            <w:tcBorders>
              <w:left w:val="nil"/>
            </w:tcBorders>
            <w:shd w:val="clear" w:color="auto" w:fill="F3DFC3"/>
          </w:tcPr>
          <w:p w14:paraId="1F81E95B"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Information about class action opportunities</w:t>
            </w:r>
          </w:p>
        </w:tc>
        <w:tc>
          <w:tcPr>
            <w:tcW w:w="5770" w:type="dxa"/>
            <w:tcBorders>
              <w:right w:val="nil"/>
            </w:tcBorders>
          </w:tcPr>
          <w:p w14:paraId="55E21D2D" w14:textId="77777777" w:rsidR="004C1048" w:rsidRDefault="00E0642D" w:rsidP="00E0642D">
            <w:pPr>
              <w:spacing w:before="120"/>
              <w:jc w:val="both"/>
              <w:rPr>
                <w:rFonts w:ascii="Arial" w:hAnsi="Arial" w:cs="Arial"/>
                <w:sz w:val="20"/>
                <w:lang w:val="en-GB"/>
              </w:rPr>
            </w:pPr>
            <w:r>
              <w:rPr>
                <w:rFonts w:ascii="Arial" w:hAnsi="Arial" w:cs="Arial"/>
                <w:sz w:val="20"/>
                <w:lang w:val="en-GB"/>
              </w:rPr>
              <w:t xml:space="preserve">The class actions, according to article 11 of Law 492 of 1998, </w:t>
            </w:r>
            <w:r w:rsidRPr="00E0642D">
              <w:rPr>
                <w:rFonts w:ascii="Arial" w:hAnsi="Arial" w:cs="Arial"/>
                <w:sz w:val="20"/>
                <w:lang w:val="en-GB"/>
              </w:rPr>
              <w:t>may be promoted during the time that the threat or danger to the right and collective interest subsists</w:t>
            </w:r>
            <w:r w:rsidR="00D72E13">
              <w:rPr>
                <w:rFonts w:ascii="Arial" w:hAnsi="Arial" w:cs="Arial"/>
                <w:sz w:val="20"/>
                <w:lang w:val="en-GB"/>
              </w:rPr>
              <w:t>.</w:t>
            </w:r>
          </w:p>
        </w:tc>
      </w:tr>
      <w:tr w:rsidR="004C1048" w:rsidRPr="00C3537E" w14:paraId="57C08539" w14:textId="77777777" w:rsidTr="00D924C6">
        <w:tblPrEx>
          <w:shd w:val="clear" w:color="auto" w:fill="auto"/>
        </w:tblPrEx>
        <w:tc>
          <w:tcPr>
            <w:tcW w:w="3492" w:type="dxa"/>
            <w:tcBorders>
              <w:left w:val="nil"/>
            </w:tcBorders>
            <w:shd w:val="clear" w:color="auto" w:fill="F3DFC3"/>
          </w:tcPr>
          <w:p w14:paraId="5CADE959"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Role of your competition agency in private enforcement actions (if at all)</w:t>
            </w:r>
          </w:p>
        </w:tc>
        <w:tc>
          <w:tcPr>
            <w:tcW w:w="5770" w:type="dxa"/>
            <w:tcBorders>
              <w:right w:val="nil"/>
            </w:tcBorders>
          </w:tcPr>
          <w:p w14:paraId="16DDD852" w14:textId="77777777" w:rsidR="004C1048" w:rsidRDefault="002A245C" w:rsidP="002A245C">
            <w:pPr>
              <w:spacing w:before="120"/>
              <w:jc w:val="both"/>
              <w:rPr>
                <w:rFonts w:ascii="Arial" w:hAnsi="Arial" w:cs="Arial"/>
                <w:sz w:val="20"/>
                <w:lang w:val="en-GB"/>
              </w:rPr>
            </w:pPr>
            <w:r>
              <w:rPr>
                <w:rFonts w:ascii="Arial" w:hAnsi="Arial" w:cs="Arial"/>
                <w:sz w:val="20"/>
                <w:lang w:val="en-GB"/>
              </w:rPr>
              <w:t>According to article 275 of the General Procedure Code, t</w:t>
            </w:r>
            <w:r w:rsidR="00E0642D">
              <w:rPr>
                <w:rFonts w:ascii="Arial" w:hAnsi="Arial" w:cs="Arial"/>
                <w:sz w:val="20"/>
                <w:lang w:val="en-GB"/>
              </w:rPr>
              <w:t xml:space="preserve">he judge in the </w:t>
            </w:r>
            <w:r>
              <w:rPr>
                <w:rFonts w:ascii="Arial" w:hAnsi="Arial" w:cs="Arial"/>
                <w:sz w:val="20"/>
                <w:lang w:val="en-GB"/>
              </w:rPr>
              <w:t xml:space="preserve">judicial procedure could request to the Competition Authority a report about the administrative investigation. Also, the judge could request documents or information belongs the investigation files. In that case, according to article 27 of Law 1437 of 2011, the Competition Authority </w:t>
            </w:r>
            <w:r w:rsidRPr="002A245C">
              <w:rPr>
                <w:rFonts w:ascii="Arial" w:hAnsi="Arial" w:cs="Arial"/>
                <w:sz w:val="20"/>
                <w:lang w:val="en-GB"/>
              </w:rPr>
              <w:t>may not enforce agains</w:t>
            </w:r>
            <w:r>
              <w:rPr>
                <w:rFonts w:ascii="Arial" w:hAnsi="Arial" w:cs="Arial"/>
                <w:sz w:val="20"/>
                <w:lang w:val="en-GB"/>
              </w:rPr>
              <w:t>t the judge the confidentiality of the information but this last have the duty to preserve de confidentiality.</w:t>
            </w:r>
          </w:p>
        </w:tc>
      </w:tr>
      <w:tr w:rsidR="004C1048" w:rsidRPr="00C3537E" w14:paraId="61F598CF" w14:textId="77777777" w:rsidTr="00D924C6">
        <w:tblPrEx>
          <w:shd w:val="clear" w:color="auto" w:fill="auto"/>
        </w:tblPrEx>
        <w:tc>
          <w:tcPr>
            <w:tcW w:w="3492" w:type="dxa"/>
            <w:tcBorders>
              <w:left w:val="nil"/>
            </w:tcBorders>
            <w:shd w:val="clear" w:color="auto" w:fill="F3DFC3"/>
          </w:tcPr>
          <w:p w14:paraId="0FC3C7D5"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t>What is the evidentiary burden on plaintiff to quantify the damages? What evidence is admissible?</w:t>
            </w:r>
          </w:p>
          <w:p w14:paraId="64D5EDF9"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Role of your competition agency in the damage calculation (if at all)</w:t>
            </w:r>
          </w:p>
        </w:tc>
        <w:tc>
          <w:tcPr>
            <w:tcW w:w="5770" w:type="dxa"/>
            <w:tcBorders>
              <w:right w:val="nil"/>
            </w:tcBorders>
          </w:tcPr>
          <w:p w14:paraId="7E17611D" w14:textId="77777777" w:rsidR="004C1048" w:rsidRDefault="003C50F1" w:rsidP="003C50F1">
            <w:pPr>
              <w:spacing w:before="120"/>
              <w:jc w:val="both"/>
              <w:rPr>
                <w:rFonts w:ascii="Arial" w:hAnsi="Arial" w:cs="Arial"/>
                <w:sz w:val="20"/>
                <w:lang w:val="en-GB"/>
              </w:rPr>
            </w:pPr>
            <w:r>
              <w:rPr>
                <w:rFonts w:ascii="Arial" w:hAnsi="Arial" w:cs="Arial"/>
                <w:sz w:val="20"/>
                <w:lang w:val="en-GB"/>
              </w:rPr>
              <w:t xml:space="preserve">In a class or civil action, the plaintiff must prove all the damages that pretended to be repair (loss of profit, costs incurred, etc.). The Competition Authority do not quantify the damages in the final decision.  </w:t>
            </w:r>
          </w:p>
        </w:tc>
      </w:tr>
      <w:tr w:rsidR="004C1048" w:rsidRPr="00C3537E" w14:paraId="554D7AC2" w14:textId="77777777" w:rsidTr="00D924C6">
        <w:tblPrEx>
          <w:shd w:val="clear" w:color="auto" w:fill="auto"/>
        </w:tblPrEx>
        <w:tc>
          <w:tcPr>
            <w:tcW w:w="3492" w:type="dxa"/>
            <w:tcBorders>
              <w:left w:val="nil"/>
            </w:tcBorders>
            <w:shd w:val="clear" w:color="auto" w:fill="F3DFC3"/>
          </w:tcPr>
          <w:p w14:paraId="25F42008" w14:textId="77777777" w:rsidR="004C1048" w:rsidRPr="00AF67AF" w:rsidRDefault="004C1048" w:rsidP="004C1048">
            <w:pPr>
              <w:numPr>
                <w:ilvl w:val="0"/>
                <w:numId w:val="34"/>
              </w:numPr>
              <w:spacing w:before="120" w:after="120"/>
              <w:rPr>
                <w:rFonts w:ascii="Arial" w:hAnsi="Arial" w:cs="Arial"/>
                <w:b/>
                <w:bCs/>
                <w:sz w:val="20"/>
                <w:lang w:val="en-GB"/>
              </w:rPr>
            </w:pPr>
            <w:r w:rsidRPr="00AF67AF">
              <w:rPr>
                <w:rFonts w:ascii="Arial" w:hAnsi="Arial" w:cs="Arial"/>
                <w:b/>
                <w:bCs/>
                <w:sz w:val="20"/>
                <w:lang w:val="en-GB"/>
              </w:rPr>
              <w:lastRenderedPageBreak/>
              <w:t xml:space="preserve">Discovery / disclosure issues: </w:t>
            </w:r>
          </w:p>
          <w:p w14:paraId="217D9CCA"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can plaintiff obtain access to competition authority or prosecutors’ files or documents collected during investigations?</w:t>
            </w:r>
          </w:p>
          <w:p w14:paraId="6AF4A89A"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is your competition agency obliged to disclose to the court the file of the case (in follow-on cases)?</w:t>
            </w:r>
          </w:p>
          <w:p w14:paraId="46F51721"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summary of the rules regulating the disclosure of confidential information by the competition agency to the court</w:t>
            </w:r>
          </w:p>
          <w:p w14:paraId="43851824" w14:textId="77777777" w:rsidR="004C1048" w:rsidRPr="00AF67AF" w:rsidRDefault="004C1048" w:rsidP="004C1048">
            <w:pPr>
              <w:numPr>
                <w:ilvl w:val="0"/>
                <w:numId w:val="32"/>
              </w:numPr>
              <w:spacing w:before="120" w:after="120"/>
              <w:rPr>
                <w:rFonts w:ascii="Arial" w:hAnsi="Arial" w:cs="Arial"/>
                <w:b/>
                <w:bCs/>
                <w:sz w:val="20"/>
                <w:lang w:val="en-GB"/>
              </w:rPr>
            </w:pPr>
            <w:r w:rsidRPr="00AF67AF">
              <w:rPr>
                <w:rFonts w:ascii="Arial" w:hAnsi="Arial" w:cs="Arial"/>
                <w:b/>
                <w:bCs/>
                <w:sz w:val="20"/>
                <w:lang w:val="en-GB"/>
              </w:rPr>
              <w:t>summary of the rules regulating the disclosure of leniency-based information by the competition agency to the court</w:t>
            </w:r>
          </w:p>
        </w:tc>
        <w:tc>
          <w:tcPr>
            <w:tcW w:w="5770" w:type="dxa"/>
            <w:tcBorders>
              <w:right w:val="nil"/>
            </w:tcBorders>
          </w:tcPr>
          <w:p w14:paraId="63FBFE09" w14:textId="77777777" w:rsidR="004C1048" w:rsidRPr="00C3537E" w:rsidRDefault="003C50F1" w:rsidP="003C50F1">
            <w:pPr>
              <w:spacing w:before="120"/>
              <w:jc w:val="both"/>
              <w:rPr>
                <w:rFonts w:ascii="Arial" w:hAnsi="Arial" w:cs="Arial"/>
                <w:sz w:val="20"/>
                <w:lang w:val="en-GB"/>
              </w:rPr>
            </w:pPr>
            <w:r>
              <w:rPr>
                <w:rFonts w:ascii="Arial" w:hAnsi="Arial" w:cs="Arial"/>
                <w:sz w:val="20"/>
                <w:lang w:val="en-GB"/>
              </w:rPr>
              <w:t xml:space="preserve">According to article 275 of the General Procedure Code, the judge in the judicial procedure could request, ex officio or because the plaintiff request, to the Competition Authority a report about the administrative investigation. Also, the judge could request documents or information belongs the investigation files. In that case, according to article 27 of Law 1437 of 2011, the Competition Authority </w:t>
            </w:r>
            <w:r w:rsidRPr="002A245C">
              <w:rPr>
                <w:rFonts w:ascii="Arial" w:hAnsi="Arial" w:cs="Arial"/>
                <w:sz w:val="20"/>
                <w:lang w:val="en-GB"/>
              </w:rPr>
              <w:t>may not enforce agains</w:t>
            </w:r>
            <w:r>
              <w:rPr>
                <w:rFonts w:ascii="Arial" w:hAnsi="Arial" w:cs="Arial"/>
                <w:sz w:val="20"/>
                <w:lang w:val="en-GB"/>
              </w:rPr>
              <w:t>t the judge the confidentiality of the information but this last have the duty to preserve de confidentiality.</w:t>
            </w:r>
          </w:p>
        </w:tc>
      </w:tr>
      <w:tr w:rsidR="004C1048" w:rsidRPr="00C3537E" w14:paraId="60D763F1" w14:textId="77777777" w:rsidTr="00D924C6">
        <w:tblPrEx>
          <w:shd w:val="clear" w:color="auto" w:fill="auto"/>
        </w:tblPrEx>
        <w:tc>
          <w:tcPr>
            <w:tcW w:w="3492" w:type="dxa"/>
            <w:tcBorders>
              <w:left w:val="nil"/>
            </w:tcBorders>
            <w:shd w:val="clear" w:color="auto" w:fill="F3DFC3"/>
          </w:tcPr>
          <w:p w14:paraId="186B3600" w14:textId="77777777" w:rsidR="004C1048" w:rsidRPr="00AF67AF" w:rsidRDefault="004C1048" w:rsidP="00AF67AF">
            <w:pPr>
              <w:numPr>
                <w:ilvl w:val="0"/>
                <w:numId w:val="34"/>
              </w:numPr>
              <w:spacing w:before="120" w:after="120"/>
              <w:jc w:val="both"/>
              <w:rPr>
                <w:rFonts w:ascii="Arial" w:hAnsi="Arial" w:cs="Arial"/>
                <w:b/>
                <w:bCs/>
                <w:sz w:val="20"/>
                <w:lang w:val="en-GB"/>
              </w:rPr>
            </w:pPr>
            <w:r w:rsidRPr="00AF67AF">
              <w:rPr>
                <w:rFonts w:ascii="Arial" w:hAnsi="Arial" w:cs="Arial"/>
                <w:b/>
                <w:bCs/>
                <w:sz w:val="20"/>
                <w:lang w:val="en-GB"/>
              </w:rPr>
              <w:t>Passing-on issues:</w:t>
            </w:r>
          </w:p>
          <w:p w14:paraId="64036973" w14:textId="77777777" w:rsidR="004C1048" w:rsidRPr="00AF67AF" w:rsidRDefault="004C1048" w:rsidP="00AF67AF">
            <w:pPr>
              <w:numPr>
                <w:ilvl w:val="0"/>
                <w:numId w:val="33"/>
              </w:numPr>
              <w:spacing w:before="120" w:after="120"/>
              <w:jc w:val="both"/>
              <w:rPr>
                <w:rFonts w:ascii="Arial" w:hAnsi="Arial" w:cs="Arial"/>
                <w:b/>
                <w:bCs/>
                <w:sz w:val="20"/>
                <w:lang w:val="en-GB"/>
              </w:rPr>
            </w:pPr>
            <w:r w:rsidRPr="00AF67AF">
              <w:rPr>
                <w:rFonts w:ascii="Arial" w:hAnsi="Arial" w:cs="Arial"/>
                <w:b/>
                <w:bCs/>
                <w:sz w:val="20"/>
                <w:lang w:val="en-GB"/>
              </w:rPr>
              <w:t>how is passing-on regulated / treated in your jurisdiction?</w:t>
            </w:r>
          </w:p>
          <w:p w14:paraId="71F15D9B" w14:textId="77777777" w:rsidR="004C1048" w:rsidRPr="00AF67AF" w:rsidRDefault="004C1048" w:rsidP="00AF67AF">
            <w:pPr>
              <w:numPr>
                <w:ilvl w:val="0"/>
                <w:numId w:val="33"/>
              </w:numPr>
              <w:spacing w:before="120" w:after="120"/>
              <w:jc w:val="both"/>
              <w:rPr>
                <w:rFonts w:ascii="Arial" w:hAnsi="Arial" w:cs="Arial"/>
                <w:b/>
                <w:bCs/>
                <w:sz w:val="20"/>
                <w:lang w:val="en-GB"/>
              </w:rPr>
            </w:pPr>
            <w:r w:rsidRPr="00AF67AF">
              <w:rPr>
                <w:rFonts w:ascii="Arial" w:hAnsi="Arial" w:cs="Arial"/>
                <w:b/>
                <w:bCs/>
                <w:sz w:val="20"/>
                <w:lang w:val="en-GB"/>
              </w:rPr>
              <w:t>is standing to bring a claim limited to those directly affected or may indirect purchasers bring claims?</w:t>
            </w:r>
          </w:p>
        </w:tc>
        <w:tc>
          <w:tcPr>
            <w:tcW w:w="5770" w:type="dxa"/>
            <w:tcBorders>
              <w:right w:val="nil"/>
            </w:tcBorders>
          </w:tcPr>
          <w:p w14:paraId="53A0F4AD" w14:textId="77777777" w:rsidR="004C1048" w:rsidRPr="00C3537E" w:rsidRDefault="003C50F1" w:rsidP="00AF67AF">
            <w:pPr>
              <w:spacing w:before="120"/>
              <w:jc w:val="both"/>
              <w:rPr>
                <w:rFonts w:ascii="Arial" w:hAnsi="Arial" w:cs="Arial"/>
                <w:sz w:val="20"/>
                <w:lang w:val="en-GB"/>
              </w:rPr>
            </w:pPr>
            <w:r>
              <w:rPr>
                <w:rFonts w:ascii="Arial" w:hAnsi="Arial" w:cs="Arial"/>
                <w:sz w:val="20"/>
                <w:lang w:val="en-GB"/>
              </w:rPr>
              <w:t xml:space="preserve">The class and civil actions must be initiated by the group of people, or the victim, respectively, that have suffered the damage directly. This confers the legitimacy to take part in the procedure as a plaintiff and prove the relation among the anticompetitive practice and the </w:t>
            </w:r>
            <w:r w:rsidR="00AF67AF">
              <w:rPr>
                <w:rFonts w:ascii="Arial" w:hAnsi="Arial" w:cs="Arial"/>
                <w:sz w:val="20"/>
                <w:lang w:val="en-GB"/>
              </w:rPr>
              <w:t>damage.</w:t>
            </w:r>
          </w:p>
        </w:tc>
      </w:tr>
    </w:tbl>
    <w:p w14:paraId="4221FF40" w14:textId="77777777" w:rsidR="000E51B6" w:rsidRPr="00C3537E" w:rsidRDefault="000E51B6">
      <w:pPr>
        <w:pStyle w:val="Textoindependiente"/>
        <w:spacing w:before="120" w:after="120"/>
        <w:ind w:left="0"/>
        <w:rPr>
          <w:rFonts w:ascii="Arial" w:hAnsi="Arial" w:cs="Arial"/>
          <w:lang w:val="en-GB"/>
        </w:rPr>
      </w:pPr>
    </w:p>
    <w:sectPr w:rsidR="000E51B6" w:rsidRPr="00C3537E" w:rsidSect="00660267">
      <w:pgSz w:w="11900" w:h="16840"/>
      <w:pgMar w:top="1134"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9471C" w14:textId="77777777" w:rsidR="00122579" w:rsidRDefault="00122579">
      <w:r>
        <w:separator/>
      </w:r>
    </w:p>
  </w:endnote>
  <w:endnote w:type="continuationSeparator" w:id="0">
    <w:p w14:paraId="2FE9B1B9" w14:textId="77777777" w:rsidR="00122579" w:rsidRDefault="00122579">
      <w:r>
        <w:continuationSeparator/>
      </w:r>
    </w:p>
  </w:endnote>
  <w:endnote w:type="continuationNotice" w:id="1">
    <w:p w14:paraId="32514ED8" w14:textId="77777777" w:rsidR="00122579" w:rsidRDefault="0012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34849" w14:textId="77777777" w:rsidR="00122579" w:rsidRDefault="00122579">
      <w:r>
        <w:separator/>
      </w:r>
    </w:p>
  </w:footnote>
  <w:footnote w:type="continuationSeparator" w:id="0">
    <w:p w14:paraId="63B9C663" w14:textId="77777777" w:rsidR="00122579" w:rsidRDefault="00122579">
      <w:r>
        <w:continuationSeparator/>
      </w:r>
    </w:p>
  </w:footnote>
  <w:footnote w:type="continuationNotice" w:id="1">
    <w:p w14:paraId="3E9AB55F" w14:textId="77777777" w:rsidR="00122579" w:rsidRDefault="00122579"/>
  </w:footnote>
  <w:footnote w:id="2">
    <w:p w14:paraId="5D5E0786" w14:textId="77777777" w:rsidR="00943190" w:rsidRDefault="00943190" w:rsidP="00223853">
      <w:pPr>
        <w:pStyle w:val="Textonotapie"/>
        <w:ind w:left="284" w:hanging="284"/>
        <w:jc w:val="both"/>
        <w:rPr>
          <w:rFonts w:ascii="Arial" w:hAnsi="Arial"/>
          <w:lang w:val="en-GB"/>
        </w:rPr>
      </w:pPr>
      <w:r>
        <w:rPr>
          <w:rStyle w:val="Refdenotaalpie"/>
          <w:rFonts w:ascii="Arial" w:hAnsi="Arial"/>
          <w:sz w:val="20"/>
        </w:rPr>
        <w:footnoteRef/>
      </w:r>
      <w:r>
        <w:rPr>
          <w:rFonts w:ascii="Arial" w:hAnsi="Arial"/>
        </w:rPr>
        <w:tab/>
        <w:t>Editor’s note: all the comments in [square brackets] are intended to assist the agency when answering this template, but will be removed once the completed template is made public.</w:t>
      </w:r>
    </w:p>
  </w:footnote>
  <w:footnote w:id="3">
    <w:p w14:paraId="7B538893" w14:textId="77777777" w:rsidR="00943190" w:rsidRDefault="00943190" w:rsidP="00223853">
      <w:pPr>
        <w:pStyle w:val="Textonotapie"/>
        <w:ind w:left="288" w:hanging="288"/>
        <w:jc w:val="both"/>
        <w:rPr>
          <w:lang w:val="hu-HU"/>
        </w:rPr>
      </w:pPr>
      <w:r>
        <w:rPr>
          <w:rStyle w:val="Refdenotaalpie"/>
        </w:rPr>
        <w:footnoteRef/>
      </w:r>
      <w:r>
        <w:tab/>
        <w:t xml:space="preserve">In some jurisdictions these types of cartels – and possibly some others – are regarded as particularly serious violations. These types of cartels are generally referred to as “hardcore cartels”. Hereinafter this terminology is used. </w:t>
      </w:r>
    </w:p>
  </w:footnote>
  <w:footnote w:id="4">
    <w:p w14:paraId="4EAB7AFE" w14:textId="77777777" w:rsidR="00943190" w:rsidRPr="00D930E8" w:rsidRDefault="00943190" w:rsidP="00223853">
      <w:pPr>
        <w:pStyle w:val="Textonotapie"/>
        <w:ind w:left="288" w:hanging="288"/>
        <w:jc w:val="both"/>
        <w:rPr>
          <w:lang w:val="en-GB"/>
        </w:rPr>
      </w:pPr>
      <w:r>
        <w:rPr>
          <w:rStyle w:val="Refdenotaalpie"/>
        </w:rPr>
        <w:footnoteRef/>
      </w:r>
      <w:r>
        <w:tab/>
        <w:t xml:space="preserve">For the purposes of this template the notion of ‘per se’ covers both 'per se' and 'by object', as these terms are synonyms used in different jurisdictions. </w:t>
      </w:r>
    </w:p>
  </w:footnote>
  <w:footnote w:id="5">
    <w:p w14:paraId="239A4B66" w14:textId="77777777" w:rsidR="00943190" w:rsidRDefault="00943190" w:rsidP="00223853">
      <w:pPr>
        <w:pStyle w:val="Textonotapie"/>
        <w:ind w:left="284" w:hanging="284"/>
        <w:jc w:val="both"/>
      </w:pPr>
      <w:r>
        <w:rPr>
          <w:rStyle w:val="Refdenotaalpie"/>
        </w:rPr>
        <w:footnoteRef/>
      </w:r>
      <w:r>
        <w:tab/>
        <w:t>Meaning: institution taking a decision on the merits of the case (e.g. prohibition decision, imposition of fine, etc.)</w:t>
      </w:r>
    </w:p>
  </w:footnote>
  <w:footnote w:id="6">
    <w:p w14:paraId="714B5BD2" w14:textId="77777777" w:rsidR="00943190" w:rsidRDefault="00943190" w:rsidP="00223853">
      <w:pPr>
        <w:pStyle w:val="Textonotapie"/>
        <w:ind w:left="284" w:hanging="284"/>
        <w:jc w:val="both"/>
      </w:pPr>
      <w:r>
        <w:rPr>
          <w:rStyle w:val="Refdenotaalpie"/>
        </w:rPr>
        <w:footnoteRef/>
      </w:r>
      <w:r>
        <w:tab/>
        <w:t>For the purposes of this template the notion of ‘leniency’ covers both full leniency and a reduction in the sanction or fines. Moreover, for the purposes of this template terms like ‘leniency’ ‘amnesty’ and ‘immunity’ are considered as synonyms.</w:t>
      </w:r>
    </w:p>
  </w:footnote>
  <w:footnote w:id="7">
    <w:p w14:paraId="730E8A56" w14:textId="77777777" w:rsidR="00943190" w:rsidRPr="00460A96" w:rsidRDefault="00943190" w:rsidP="00223853">
      <w:pPr>
        <w:ind w:left="284" w:hanging="284"/>
        <w:jc w:val="both"/>
        <w:rPr>
          <w:lang w:val="en-GB"/>
        </w:rPr>
      </w:pPr>
      <w:r>
        <w:rPr>
          <w:rStyle w:val="Refdenotaalpie"/>
        </w:rPr>
        <w:footnoteRef/>
      </w:r>
      <w:r>
        <w:tab/>
      </w:r>
      <w:r w:rsidRPr="00460A96">
        <w:rPr>
          <w:sz w:val="20"/>
          <w:szCs w:val="20"/>
          <w:lang w:val="en-GB"/>
        </w:rPr>
        <w:t xml:space="preserve">A marker protects an applicant’s place in the queue for a given period of time and allows it to gather the necessary information and evidence in order to meet the relevant evidential threshold for immunity. </w:t>
      </w:r>
    </w:p>
  </w:footnote>
  <w:footnote w:id="8">
    <w:p w14:paraId="0FDDF99C" w14:textId="77777777" w:rsidR="00943190" w:rsidRDefault="00943190" w:rsidP="00223853">
      <w:pPr>
        <w:pStyle w:val="Textonotapie"/>
        <w:spacing w:after="0"/>
        <w:ind w:left="284" w:hanging="284"/>
        <w:jc w:val="both"/>
      </w:pPr>
      <w:r>
        <w:rPr>
          <w:rStyle w:val="Refdenotaalpie"/>
        </w:rPr>
        <w:footnoteRef/>
      </w:r>
      <w:r>
        <w:tab/>
        <w:t>Also known as: “leniency plus”, “amnesty plus” or “immunity plus”. This category covers situations where a leniency applicant, in order to get as lenient treatment as possible in a particular case, offers to reveal information about participation in another cartel distinct from the one which is the subject of its first leniency application.</w:t>
      </w:r>
    </w:p>
  </w:footnote>
  <w:footnote w:id="9">
    <w:p w14:paraId="51BD8C98" w14:textId="77777777" w:rsidR="00943190" w:rsidRDefault="00943190" w:rsidP="00223853">
      <w:pPr>
        <w:pStyle w:val="Textonotapie"/>
        <w:ind w:left="288" w:hanging="288"/>
        <w:jc w:val="both"/>
        <w:rPr>
          <w:lang w:val="hu-HU"/>
        </w:rPr>
      </w:pPr>
      <w:r>
        <w:rPr>
          <w:rStyle w:val="Refdenotaalpie"/>
        </w:rPr>
        <w:footnoteRef/>
      </w:r>
      <w:r>
        <w:tab/>
        <w:t>“Enforcing institutions” may mean either the investigating or the decision-making institution or both.</w:t>
      </w:r>
    </w:p>
  </w:footnote>
  <w:footnote w:id="10">
    <w:p w14:paraId="6FC78286" w14:textId="77777777" w:rsidR="00943190" w:rsidRDefault="00943190" w:rsidP="00223853">
      <w:pPr>
        <w:pStyle w:val="Textonotapie"/>
        <w:ind w:left="284" w:hanging="284"/>
        <w:jc w:val="both"/>
      </w:pPr>
      <w:r>
        <w:rPr>
          <w:rStyle w:val="Refdenotaalpie"/>
        </w:rPr>
        <w:footnoteRef/>
      </w:r>
      <w:r>
        <w:tab/>
        <w:t>“Searches/raids” means all types of search, raid or inspection measures.</w:t>
      </w:r>
    </w:p>
  </w:footnote>
  <w:footnote w:id="11">
    <w:p w14:paraId="53E750AE" w14:textId="77777777" w:rsidR="00943190" w:rsidRDefault="00943190" w:rsidP="00223853">
      <w:pPr>
        <w:pStyle w:val="Textonotapie"/>
        <w:ind w:left="284" w:hanging="284"/>
        <w:jc w:val="both"/>
        <w:rPr>
          <w:lang w:val="hu-HU"/>
        </w:rPr>
      </w:pPr>
      <w:r>
        <w:rPr>
          <w:rStyle w:val="Refdenotaalpie"/>
        </w:rPr>
        <w:footnoteRef/>
      </w:r>
      <w:r>
        <w:tab/>
        <w:t>In some jurisdictions, in cases of urgency due to the risk of serious and irreparable damage to competition, either the investigator or the decision-making agency may order interim measures prior to taking a  decision on the merits of the case [e.g.: by ordering the immediate termination of the infringement].</w:t>
      </w:r>
    </w:p>
  </w:footnote>
  <w:footnote w:id="12">
    <w:p w14:paraId="6C0F02BE" w14:textId="77777777" w:rsidR="00943190" w:rsidRDefault="00943190" w:rsidP="00223853">
      <w:pPr>
        <w:pStyle w:val="Textonotapie"/>
        <w:ind w:left="240" w:hanging="240"/>
        <w:jc w:val="both"/>
        <w:rPr>
          <w:lang w:val="en-GB"/>
        </w:rPr>
      </w:pPr>
      <w:r>
        <w:rPr>
          <w:rStyle w:val="Refdenotaalpie"/>
        </w:rPr>
        <w:footnoteRef/>
      </w:r>
      <w:r>
        <w:tab/>
        <w:t>Only for agencies which answered “yes” to question 2.B. above</w:t>
      </w:r>
    </w:p>
  </w:footnote>
  <w:footnote w:id="13">
    <w:p w14:paraId="0D55542F" w14:textId="3B872068" w:rsidR="00223853" w:rsidRPr="00223853" w:rsidRDefault="00223853" w:rsidP="00223853">
      <w:pPr>
        <w:pStyle w:val="Textonotapie"/>
        <w:jc w:val="both"/>
        <w:rPr>
          <w:rFonts w:ascii="Arial" w:hAnsi="Arial" w:cs="Arial"/>
        </w:rPr>
      </w:pPr>
      <w:r w:rsidRPr="00223853">
        <w:rPr>
          <w:rStyle w:val="Refdenotaalpie"/>
          <w:rFonts w:ascii="Arial" w:hAnsi="Arial" w:cs="Arial"/>
        </w:rPr>
        <w:footnoteRef/>
      </w:r>
      <w:r w:rsidRPr="00223853">
        <w:rPr>
          <w:rFonts w:ascii="Arial" w:hAnsi="Arial" w:cs="Arial"/>
        </w:rPr>
        <w:t xml:space="preserve"> The</w:t>
      </w:r>
      <w:r>
        <w:rPr>
          <w:rFonts w:ascii="Arial" w:hAnsi="Arial" w:cs="Arial"/>
        </w:rPr>
        <w:t xml:space="preserve"> legal</w:t>
      </w:r>
      <w:r w:rsidRPr="00223853">
        <w:rPr>
          <w:rFonts w:ascii="Arial" w:hAnsi="Arial" w:cs="Arial"/>
        </w:rPr>
        <w:t xml:space="preserve"> provision stablishes </w:t>
      </w:r>
      <w:r w:rsidR="00554EF2">
        <w:rPr>
          <w:rFonts w:ascii="Arial" w:hAnsi="Arial" w:cs="Arial"/>
        </w:rPr>
        <w:t xml:space="preserve">that </w:t>
      </w:r>
      <w:r w:rsidRPr="00223853">
        <w:rPr>
          <w:rFonts w:ascii="Arial" w:hAnsi="Arial" w:cs="Arial"/>
        </w:rPr>
        <w:t>the sanction amount</w:t>
      </w:r>
      <w:r>
        <w:rPr>
          <w:rFonts w:ascii="Arial" w:hAnsi="Arial" w:cs="Arial"/>
        </w:rPr>
        <w:t xml:space="preserve"> </w:t>
      </w:r>
      <w:r w:rsidR="00554EF2">
        <w:rPr>
          <w:rFonts w:ascii="Arial" w:hAnsi="Arial" w:cs="Arial"/>
        </w:rPr>
        <w:t xml:space="preserve">is </w:t>
      </w:r>
      <w:r>
        <w:rPr>
          <w:rFonts w:ascii="Arial" w:hAnsi="Arial" w:cs="Arial"/>
        </w:rPr>
        <w:t>up to 100.000</w:t>
      </w:r>
      <w:r w:rsidRPr="00223853">
        <w:rPr>
          <w:rFonts w:ascii="Arial" w:hAnsi="Arial" w:cs="Arial"/>
        </w:rPr>
        <w:t xml:space="preserve"> </w:t>
      </w:r>
      <w:r w:rsidRPr="00223853">
        <w:rPr>
          <w:rFonts w:ascii="Arial" w:hAnsi="Arial" w:cs="Arial"/>
        </w:rPr>
        <w:t>statutory monthly</w:t>
      </w:r>
      <w:r w:rsidRPr="00223853">
        <w:rPr>
          <w:rStyle w:val="apple-converted-space"/>
          <w:rFonts w:ascii="Arial" w:hAnsi="Arial" w:cs="Arial"/>
        </w:rPr>
        <w:t> </w:t>
      </w:r>
      <w:r w:rsidRPr="00223853">
        <w:rPr>
          <w:rFonts w:ascii="Arial" w:hAnsi="Arial" w:cs="Arial"/>
        </w:rPr>
        <w:t>minimum wages</w:t>
      </w:r>
      <w:r w:rsidRPr="00223853">
        <w:rPr>
          <w:rFonts w:ascii="Arial" w:hAnsi="Arial" w:cs="Arial"/>
        </w:rPr>
        <w:t xml:space="preserve">. The </w:t>
      </w:r>
      <w:r w:rsidRPr="00223853">
        <w:rPr>
          <w:rFonts w:ascii="Arial" w:hAnsi="Arial" w:cs="Arial"/>
        </w:rPr>
        <w:t>statutory monthly</w:t>
      </w:r>
      <w:r w:rsidRPr="00223853">
        <w:rPr>
          <w:rStyle w:val="apple-converted-space"/>
          <w:rFonts w:ascii="Arial" w:hAnsi="Arial" w:cs="Arial"/>
        </w:rPr>
        <w:t> </w:t>
      </w:r>
      <w:r w:rsidRPr="00223853">
        <w:rPr>
          <w:rFonts w:ascii="Arial" w:hAnsi="Arial" w:cs="Arial"/>
        </w:rPr>
        <w:t>minimum wages</w:t>
      </w:r>
      <w:r w:rsidRPr="00223853">
        <w:rPr>
          <w:rFonts w:ascii="Arial" w:hAnsi="Arial" w:cs="Arial"/>
        </w:rPr>
        <w:t xml:space="preserve"> for 2020 is $877.803.</w:t>
      </w:r>
    </w:p>
  </w:footnote>
  <w:footnote w:id="14">
    <w:p w14:paraId="0D9A5258" w14:textId="6491147A" w:rsidR="00223853" w:rsidRPr="00223853" w:rsidRDefault="00223853" w:rsidP="00223853">
      <w:pPr>
        <w:pStyle w:val="Textonotapie"/>
        <w:jc w:val="both"/>
      </w:pPr>
      <w:r>
        <w:rPr>
          <w:rStyle w:val="Refdenotaalpie"/>
        </w:rPr>
        <w:footnoteRef/>
      </w:r>
      <w:r>
        <w:t xml:space="preserve"> </w:t>
      </w:r>
      <w:r w:rsidRPr="00223853">
        <w:rPr>
          <w:rFonts w:ascii="Arial" w:hAnsi="Arial" w:cs="Arial"/>
        </w:rPr>
        <w:t>The</w:t>
      </w:r>
      <w:r>
        <w:rPr>
          <w:rFonts w:ascii="Arial" w:hAnsi="Arial" w:cs="Arial"/>
        </w:rPr>
        <w:t xml:space="preserve"> legal</w:t>
      </w:r>
      <w:r w:rsidRPr="00223853">
        <w:rPr>
          <w:rFonts w:ascii="Arial" w:hAnsi="Arial" w:cs="Arial"/>
        </w:rPr>
        <w:t xml:space="preserve"> provision stablishes</w:t>
      </w:r>
      <w:r w:rsidR="00554EF2">
        <w:rPr>
          <w:rFonts w:ascii="Arial" w:hAnsi="Arial" w:cs="Arial"/>
        </w:rPr>
        <w:t xml:space="preserve"> that</w:t>
      </w:r>
      <w:r w:rsidRPr="00223853">
        <w:rPr>
          <w:rFonts w:ascii="Arial" w:hAnsi="Arial" w:cs="Arial"/>
        </w:rPr>
        <w:t xml:space="preserve"> the sanction amount</w:t>
      </w:r>
      <w:r w:rsidR="00554EF2">
        <w:rPr>
          <w:rFonts w:ascii="Arial" w:hAnsi="Arial" w:cs="Arial"/>
        </w:rPr>
        <w:t xml:space="preserve"> is</w:t>
      </w:r>
      <w:r>
        <w:rPr>
          <w:rFonts w:ascii="Arial" w:hAnsi="Arial" w:cs="Arial"/>
        </w:rPr>
        <w:t xml:space="preserve"> up to </w:t>
      </w:r>
      <w:r>
        <w:rPr>
          <w:rFonts w:ascii="Arial" w:hAnsi="Arial" w:cs="Arial"/>
        </w:rPr>
        <w:t>2.000</w:t>
      </w:r>
      <w:r w:rsidRPr="00223853">
        <w:rPr>
          <w:rFonts w:ascii="Arial" w:hAnsi="Arial" w:cs="Arial"/>
        </w:rPr>
        <w:t xml:space="preserve"> statutory monthly</w:t>
      </w:r>
      <w:r w:rsidRPr="00223853">
        <w:rPr>
          <w:rStyle w:val="apple-converted-space"/>
          <w:rFonts w:ascii="Arial" w:hAnsi="Arial" w:cs="Arial"/>
        </w:rPr>
        <w:t> </w:t>
      </w:r>
      <w:r w:rsidRPr="00223853">
        <w:rPr>
          <w:rFonts w:ascii="Arial" w:hAnsi="Arial" w:cs="Arial"/>
        </w:rPr>
        <w:t>minimum wages. The statutory monthly</w:t>
      </w:r>
      <w:r w:rsidRPr="00223853">
        <w:rPr>
          <w:rStyle w:val="apple-converted-space"/>
          <w:rFonts w:ascii="Arial" w:hAnsi="Arial" w:cs="Arial"/>
        </w:rPr>
        <w:t> </w:t>
      </w:r>
      <w:r w:rsidRPr="00223853">
        <w:rPr>
          <w:rFonts w:ascii="Arial" w:hAnsi="Arial" w:cs="Arial"/>
        </w:rPr>
        <w:t>minimum wages for 2020 is $877.803.</w:t>
      </w:r>
    </w:p>
  </w:footnote>
  <w:footnote w:id="15">
    <w:p w14:paraId="1BAC9A73" w14:textId="774E9F4F" w:rsidR="00223853" w:rsidRPr="00223853" w:rsidRDefault="00223853" w:rsidP="00223853">
      <w:pPr>
        <w:pStyle w:val="Textonotapie"/>
        <w:jc w:val="both"/>
        <w:rPr>
          <w:rFonts w:ascii="Arial" w:hAnsi="Arial" w:cs="Arial"/>
        </w:rPr>
      </w:pPr>
      <w:r>
        <w:rPr>
          <w:rStyle w:val="Refdenotaalpie"/>
        </w:rPr>
        <w:footnoteRef/>
      </w:r>
      <w:r>
        <w:t xml:space="preserve"> </w:t>
      </w:r>
      <w:r w:rsidR="00554EF2" w:rsidRPr="00223853">
        <w:rPr>
          <w:rFonts w:ascii="Arial" w:hAnsi="Arial" w:cs="Arial"/>
        </w:rPr>
        <w:t>The</w:t>
      </w:r>
      <w:r w:rsidR="00554EF2">
        <w:rPr>
          <w:rFonts w:ascii="Arial" w:hAnsi="Arial" w:cs="Arial"/>
        </w:rPr>
        <w:t xml:space="preserve"> legal</w:t>
      </w:r>
      <w:r w:rsidR="00554EF2" w:rsidRPr="00223853">
        <w:rPr>
          <w:rFonts w:ascii="Arial" w:hAnsi="Arial" w:cs="Arial"/>
        </w:rPr>
        <w:t xml:space="preserve"> provision stablishes </w:t>
      </w:r>
      <w:r w:rsidR="00554EF2">
        <w:rPr>
          <w:rFonts w:ascii="Arial" w:hAnsi="Arial" w:cs="Arial"/>
        </w:rPr>
        <w:t xml:space="preserve">that </w:t>
      </w:r>
      <w:r w:rsidR="00554EF2" w:rsidRPr="00223853">
        <w:rPr>
          <w:rFonts w:ascii="Arial" w:hAnsi="Arial" w:cs="Arial"/>
        </w:rPr>
        <w:t>the sanction amount</w:t>
      </w:r>
      <w:r w:rsidR="00554EF2">
        <w:rPr>
          <w:rFonts w:ascii="Arial" w:hAnsi="Arial" w:cs="Arial"/>
        </w:rPr>
        <w:t xml:space="preserve"> is up to 100.000</w:t>
      </w:r>
      <w:r w:rsidR="00554EF2" w:rsidRPr="00223853">
        <w:rPr>
          <w:rFonts w:ascii="Arial" w:hAnsi="Arial" w:cs="Arial"/>
        </w:rPr>
        <w:t xml:space="preserve"> statutory monthly</w:t>
      </w:r>
      <w:r w:rsidR="00554EF2" w:rsidRPr="00223853">
        <w:rPr>
          <w:rStyle w:val="apple-converted-space"/>
          <w:rFonts w:ascii="Arial" w:hAnsi="Arial" w:cs="Arial"/>
        </w:rPr>
        <w:t> </w:t>
      </w:r>
      <w:r w:rsidR="00554EF2" w:rsidRPr="00223853">
        <w:rPr>
          <w:rFonts w:ascii="Arial" w:hAnsi="Arial" w:cs="Arial"/>
        </w:rPr>
        <w:t>minimum wages. The statutory monthly</w:t>
      </w:r>
      <w:r w:rsidR="00554EF2" w:rsidRPr="00223853">
        <w:rPr>
          <w:rStyle w:val="apple-converted-space"/>
          <w:rFonts w:ascii="Arial" w:hAnsi="Arial" w:cs="Arial"/>
        </w:rPr>
        <w:t> </w:t>
      </w:r>
      <w:r w:rsidR="00554EF2" w:rsidRPr="00223853">
        <w:rPr>
          <w:rFonts w:ascii="Arial" w:hAnsi="Arial" w:cs="Arial"/>
        </w:rPr>
        <w:t>minimum wages for 2020 is $877.803.</w:t>
      </w:r>
    </w:p>
  </w:footnote>
  <w:footnote w:id="16">
    <w:p w14:paraId="68EA0D2A" w14:textId="2CE9DB65" w:rsidR="00223853" w:rsidRPr="00223853" w:rsidRDefault="00223853" w:rsidP="00223853">
      <w:pPr>
        <w:pStyle w:val="Textonotapie"/>
        <w:jc w:val="both"/>
        <w:rPr>
          <w:rFonts w:ascii="Arial" w:hAnsi="Arial" w:cs="Arial"/>
        </w:rPr>
      </w:pPr>
      <w:r>
        <w:rPr>
          <w:rStyle w:val="Refdenotaalpie"/>
        </w:rPr>
        <w:footnoteRef/>
      </w:r>
      <w:r>
        <w:t xml:space="preserve"> </w:t>
      </w:r>
      <w:r w:rsidRPr="00223853">
        <w:rPr>
          <w:rFonts w:ascii="Arial" w:hAnsi="Arial" w:cs="Arial"/>
        </w:rPr>
        <w:t>The</w:t>
      </w:r>
      <w:r>
        <w:rPr>
          <w:rFonts w:ascii="Arial" w:hAnsi="Arial" w:cs="Arial"/>
        </w:rPr>
        <w:t xml:space="preserve"> legal</w:t>
      </w:r>
      <w:r w:rsidRPr="00223853">
        <w:rPr>
          <w:rFonts w:ascii="Arial" w:hAnsi="Arial" w:cs="Arial"/>
        </w:rPr>
        <w:t xml:space="preserve"> provision stablishes</w:t>
      </w:r>
      <w:r w:rsidR="00554EF2">
        <w:rPr>
          <w:rFonts w:ascii="Arial" w:hAnsi="Arial" w:cs="Arial"/>
        </w:rPr>
        <w:t xml:space="preserve"> that</w:t>
      </w:r>
      <w:r w:rsidRPr="00223853">
        <w:rPr>
          <w:rFonts w:ascii="Arial" w:hAnsi="Arial" w:cs="Arial"/>
        </w:rPr>
        <w:t xml:space="preserve"> the sanction amount</w:t>
      </w:r>
      <w:r>
        <w:rPr>
          <w:rFonts w:ascii="Arial" w:hAnsi="Arial" w:cs="Arial"/>
        </w:rPr>
        <w:t xml:space="preserve"> </w:t>
      </w:r>
      <w:r w:rsidR="00554EF2">
        <w:rPr>
          <w:rFonts w:ascii="Arial" w:hAnsi="Arial" w:cs="Arial"/>
        </w:rPr>
        <w:t xml:space="preserve">is </w:t>
      </w:r>
      <w:r>
        <w:rPr>
          <w:rFonts w:ascii="Arial" w:hAnsi="Arial" w:cs="Arial"/>
        </w:rPr>
        <w:t xml:space="preserve">up to </w:t>
      </w:r>
      <w:r>
        <w:rPr>
          <w:rFonts w:ascii="Arial" w:hAnsi="Arial" w:cs="Arial"/>
        </w:rPr>
        <w:t>2.000</w:t>
      </w:r>
      <w:r w:rsidRPr="00223853">
        <w:rPr>
          <w:rFonts w:ascii="Arial" w:hAnsi="Arial" w:cs="Arial"/>
        </w:rPr>
        <w:t xml:space="preserve"> statutory monthly</w:t>
      </w:r>
      <w:r w:rsidRPr="00223853">
        <w:rPr>
          <w:rStyle w:val="apple-converted-space"/>
          <w:rFonts w:ascii="Arial" w:hAnsi="Arial" w:cs="Arial"/>
        </w:rPr>
        <w:t> </w:t>
      </w:r>
      <w:r w:rsidRPr="00223853">
        <w:rPr>
          <w:rFonts w:ascii="Arial" w:hAnsi="Arial" w:cs="Arial"/>
        </w:rPr>
        <w:t>minimum wages. The statutory monthly</w:t>
      </w:r>
      <w:r w:rsidRPr="00223853">
        <w:rPr>
          <w:rStyle w:val="apple-converted-space"/>
          <w:rFonts w:ascii="Arial" w:hAnsi="Arial" w:cs="Arial"/>
        </w:rPr>
        <w:t> </w:t>
      </w:r>
      <w:r w:rsidRPr="00223853">
        <w:rPr>
          <w:rFonts w:ascii="Arial" w:hAnsi="Arial" w:cs="Arial"/>
        </w:rPr>
        <w:t>minimum wages for 2020 is $877.803.</w:t>
      </w:r>
    </w:p>
    <w:p w14:paraId="517F0F69" w14:textId="7607EDC1" w:rsidR="00223853" w:rsidRPr="00223853" w:rsidRDefault="00223853" w:rsidP="00223853">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DAE35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AD86BD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058EA2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DF4019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6CA9F8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C2278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8CF08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A630C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06C5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FB0233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736087"/>
    <w:multiLevelType w:val="hybridMultilevel"/>
    <w:tmpl w:val="B15EF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FF18AC"/>
    <w:multiLevelType w:val="hybridMultilevel"/>
    <w:tmpl w:val="4D0AFF0A"/>
    <w:lvl w:ilvl="0" w:tplc="EB8ABA7C">
      <w:start w:val="1"/>
      <w:numFmt w:val="upp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12DF1E93"/>
    <w:multiLevelType w:val="hybridMultilevel"/>
    <w:tmpl w:val="68A036E6"/>
    <w:lvl w:ilvl="0" w:tplc="53E4C738">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170D71AF"/>
    <w:multiLevelType w:val="hybridMultilevel"/>
    <w:tmpl w:val="3EBE62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7152F6D"/>
    <w:multiLevelType w:val="hybridMultilevel"/>
    <w:tmpl w:val="5F022AE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9981808"/>
    <w:multiLevelType w:val="hybridMultilevel"/>
    <w:tmpl w:val="D7A0AAC0"/>
    <w:lvl w:ilvl="0" w:tplc="240A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55241C"/>
    <w:multiLevelType w:val="hybridMultilevel"/>
    <w:tmpl w:val="16BCB39A"/>
    <w:lvl w:ilvl="0" w:tplc="E5D021A0">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6AA7D4F"/>
    <w:multiLevelType w:val="hybridMultilevel"/>
    <w:tmpl w:val="3F7E1FCE"/>
    <w:lvl w:ilvl="0" w:tplc="04090015">
      <w:start w:val="1"/>
      <w:numFmt w:val="upperLetter"/>
      <w:lvlText w:val="%1."/>
      <w:lvlJc w:val="left"/>
      <w:pPr>
        <w:tabs>
          <w:tab w:val="num" w:pos="360"/>
        </w:tabs>
        <w:ind w:left="360" w:hanging="360"/>
      </w:pPr>
    </w:lvl>
    <w:lvl w:ilvl="1" w:tplc="040E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A1E0D9B"/>
    <w:multiLevelType w:val="hybridMultilevel"/>
    <w:tmpl w:val="403811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F29779C"/>
    <w:multiLevelType w:val="hybridMultilevel"/>
    <w:tmpl w:val="C816B0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4E164DC"/>
    <w:multiLevelType w:val="hybridMultilevel"/>
    <w:tmpl w:val="5DAAD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7D4756F"/>
    <w:multiLevelType w:val="hybridMultilevel"/>
    <w:tmpl w:val="CD248DD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9579EF"/>
    <w:multiLevelType w:val="hybridMultilevel"/>
    <w:tmpl w:val="5470DF4A"/>
    <w:lvl w:ilvl="0" w:tplc="04090015">
      <w:start w:val="1"/>
      <w:numFmt w:val="upperLetter"/>
      <w:lvlText w:val="%1."/>
      <w:lvlJc w:val="left"/>
      <w:pPr>
        <w:tabs>
          <w:tab w:val="num" w:pos="360"/>
        </w:tabs>
        <w:ind w:left="360" w:hanging="360"/>
      </w:pPr>
    </w:lvl>
    <w:lvl w:ilvl="1" w:tplc="040E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EB01BA"/>
    <w:multiLevelType w:val="hybridMultilevel"/>
    <w:tmpl w:val="ED7E7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2F153F7"/>
    <w:multiLevelType w:val="hybridMultilevel"/>
    <w:tmpl w:val="D83E781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5AD3D27"/>
    <w:multiLevelType w:val="hybridMultilevel"/>
    <w:tmpl w:val="69CAD380"/>
    <w:lvl w:ilvl="0" w:tplc="2B104E98">
      <w:start w:val="2"/>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EB5126"/>
    <w:multiLevelType w:val="hybridMultilevel"/>
    <w:tmpl w:val="DE4C8F30"/>
    <w:lvl w:ilvl="0" w:tplc="04090015">
      <w:start w:val="1"/>
      <w:numFmt w:val="upperLetter"/>
      <w:lvlText w:val="%1."/>
      <w:lvlJc w:val="left"/>
      <w:pPr>
        <w:tabs>
          <w:tab w:val="num" w:pos="360"/>
        </w:tabs>
        <w:ind w:left="360" w:hanging="360"/>
      </w:pPr>
    </w:lvl>
    <w:lvl w:ilvl="1" w:tplc="040E000F">
      <w:start w:val="1"/>
      <w:numFmt w:val="decimal"/>
      <w:lvlText w:val="%2."/>
      <w:lvlJc w:val="left"/>
      <w:pPr>
        <w:tabs>
          <w:tab w:val="num" w:pos="1080"/>
        </w:tabs>
        <w:ind w:left="1080" w:hanging="360"/>
      </w:pPr>
    </w:lvl>
    <w:lvl w:ilvl="2" w:tplc="4C9EA4C8">
      <w:start w:val="1"/>
      <w:numFmt w:val="decimal"/>
      <w:lvlText w:val="%3."/>
      <w:lvlJc w:val="right"/>
      <w:pPr>
        <w:tabs>
          <w:tab w:val="num" w:pos="1800"/>
        </w:tabs>
        <w:ind w:left="1800" w:hanging="180"/>
      </w:pPr>
      <w:rPr>
        <w:rFonts w:ascii="Arial" w:eastAsia="Times New Roman" w:hAnsi="Arial" w:cs="Arial"/>
      </w:rPr>
    </w:lvl>
    <w:lvl w:ilvl="3" w:tplc="240A0019">
      <w:start w:val="1"/>
      <w:numFmt w:val="lowerLetter"/>
      <w:lvlText w:val="%4."/>
      <w:lvlJc w:val="left"/>
      <w:pPr>
        <w:ind w:left="2520" w:hanging="360"/>
      </w:pPr>
      <w:rPr>
        <w:rFonts w:cs="Times New Roman" w:hint="default"/>
      </w:rPr>
    </w:lvl>
    <w:lvl w:ilvl="4" w:tplc="C86C4DD8">
      <w:start w:val="5"/>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9C67B9E"/>
    <w:multiLevelType w:val="hybridMultilevel"/>
    <w:tmpl w:val="61FED0E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0E62EE"/>
    <w:multiLevelType w:val="hybridMultilevel"/>
    <w:tmpl w:val="10946D5E"/>
    <w:lvl w:ilvl="0" w:tplc="04090015">
      <w:start w:val="1"/>
      <w:numFmt w:val="upperLetter"/>
      <w:lvlText w:val="%1."/>
      <w:lvlJc w:val="left"/>
      <w:pPr>
        <w:tabs>
          <w:tab w:val="num" w:pos="360"/>
        </w:tabs>
        <w:ind w:left="360" w:hanging="360"/>
      </w:pPr>
    </w:lvl>
    <w:lvl w:ilvl="1" w:tplc="040E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2FC18F2"/>
    <w:multiLevelType w:val="hybridMultilevel"/>
    <w:tmpl w:val="749E753C"/>
    <w:lvl w:ilvl="0" w:tplc="0E542C24">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52745F2"/>
    <w:multiLevelType w:val="hybridMultilevel"/>
    <w:tmpl w:val="E064D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162FE8"/>
    <w:multiLevelType w:val="hybridMultilevel"/>
    <w:tmpl w:val="17F4432A"/>
    <w:lvl w:ilvl="0" w:tplc="04090015">
      <w:start w:val="1"/>
      <w:numFmt w:val="upperLetter"/>
      <w:lvlText w:val="%1."/>
      <w:lvlJc w:val="left"/>
      <w:pPr>
        <w:tabs>
          <w:tab w:val="num" w:pos="360"/>
        </w:tabs>
        <w:ind w:left="360" w:hanging="360"/>
      </w:pPr>
    </w:lvl>
    <w:lvl w:ilvl="1" w:tplc="A03250A0">
      <w:start w:val="3"/>
      <w:numFmt w:val="decimal"/>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980F54"/>
    <w:multiLevelType w:val="hybridMultilevel"/>
    <w:tmpl w:val="5ED23982"/>
    <w:lvl w:ilvl="0" w:tplc="040E000F">
      <w:start w:val="1"/>
      <w:numFmt w:val="decimal"/>
      <w:lvlText w:val="%1."/>
      <w:lvlJc w:val="left"/>
      <w:pPr>
        <w:tabs>
          <w:tab w:val="num" w:pos="1080"/>
        </w:tabs>
        <w:ind w:left="108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195FBB"/>
    <w:multiLevelType w:val="multilevel"/>
    <w:tmpl w:val="94561EA2"/>
    <w:lvl w:ilvl="0">
      <w:start w:val="1"/>
      <w:numFmt w:val="decimal"/>
      <w:pStyle w:val="Ttulo1"/>
      <w:lvlText w:val="%1."/>
      <w:lvlJc w:val="left"/>
      <w:pPr>
        <w:tabs>
          <w:tab w:val="num" w:pos="360"/>
        </w:tabs>
        <w:ind w:left="0" w:firstLine="0"/>
      </w:pPr>
      <w:rPr>
        <w:rFonts w:hint="default"/>
      </w:rPr>
    </w:lvl>
    <w:lvl w:ilvl="1">
      <w:start w:val="1"/>
      <w:numFmt w:val="upperLetter"/>
      <w:pStyle w:val="Ttulo2"/>
      <w:lvlText w:val="%2."/>
      <w:lvlJc w:val="left"/>
      <w:pPr>
        <w:tabs>
          <w:tab w:val="num" w:pos="1080"/>
        </w:tabs>
        <w:ind w:left="720" w:firstLine="0"/>
      </w:pPr>
      <w:rPr>
        <w:rFonts w:hint="default"/>
      </w:rPr>
    </w:lvl>
    <w:lvl w:ilvl="2">
      <w:start w:val="1"/>
      <w:numFmt w:val="decimal"/>
      <w:pStyle w:val="Ttulo3"/>
      <w:lvlText w:val="%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34" w15:restartNumberingAfterBreak="0">
    <w:nsid w:val="6F9D227E"/>
    <w:multiLevelType w:val="hybridMultilevel"/>
    <w:tmpl w:val="E590528A"/>
    <w:lvl w:ilvl="0" w:tplc="924864C2">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18D0721"/>
    <w:multiLevelType w:val="hybridMultilevel"/>
    <w:tmpl w:val="4216BB2A"/>
    <w:lvl w:ilvl="0" w:tplc="B504D5A6">
      <w:start w:val="1"/>
      <w:numFmt w:val="upp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8B61F2F"/>
    <w:multiLevelType w:val="hybridMultilevel"/>
    <w:tmpl w:val="E8128F72"/>
    <w:lvl w:ilvl="0" w:tplc="04090015">
      <w:start w:val="1"/>
      <w:numFmt w:val="upperLetter"/>
      <w:lvlText w:val="%1."/>
      <w:lvlJc w:val="left"/>
      <w:pPr>
        <w:tabs>
          <w:tab w:val="num" w:pos="360"/>
        </w:tabs>
        <w:ind w:left="360" w:hanging="360"/>
      </w:pPr>
    </w:lvl>
    <w:lvl w:ilvl="1" w:tplc="040E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DA4552C"/>
    <w:multiLevelType w:val="hybridMultilevel"/>
    <w:tmpl w:val="7B003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9"/>
  </w:num>
  <w:num w:numId="7">
    <w:abstractNumId w:val="1"/>
  </w:num>
  <w:num w:numId="8">
    <w:abstractNumId w:val="2"/>
  </w:num>
  <w:num w:numId="9">
    <w:abstractNumId w:val="3"/>
  </w:num>
  <w:num w:numId="10">
    <w:abstractNumId w:val="8"/>
  </w:num>
  <w:num w:numId="11">
    <w:abstractNumId w:val="33"/>
  </w:num>
  <w:num w:numId="12">
    <w:abstractNumId w:val="24"/>
  </w:num>
  <w:num w:numId="13">
    <w:abstractNumId w:val="19"/>
  </w:num>
  <w:num w:numId="14">
    <w:abstractNumId w:val="22"/>
  </w:num>
  <w:num w:numId="15">
    <w:abstractNumId w:val="31"/>
  </w:num>
  <w:num w:numId="16">
    <w:abstractNumId w:val="36"/>
  </w:num>
  <w:num w:numId="17">
    <w:abstractNumId w:val="17"/>
  </w:num>
  <w:num w:numId="18">
    <w:abstractNumId w:val="27"/>
  </w:num>
  <w:num w:numId="19">
    <w:abstractNumId w:val="18"/>
  </w:num>
  <w:num w:numId="20">
    <w:abstractNumId w:val="21"/>
  </w:num>
  <w:num w:numId="21">
    <w:abstractNumId w:val="14"/>
  </w:num>
  <w:num w:numId="22">
    <w:abstractNumId w:val="28"/>
  </w:num>
  <w:num w:numId="23">
    <w:abstractNumId w:val="35"/>
  </w:num>
  <w:num w:numId="24">
    <w:abstractNumId w:val="29"/>
  </w:num>
  <w:num w:numId="25">
    <w:abstractNumId w:val="11"/>
  </w:num>
  <w:num w:numId="26">
    <w:abstractNumId w:val="12"/>
  </w:num>
  <w:num w:numId="27">
    <w:abstractNumId w:val="25"/>
  </w:num>
  <w:num w:numId="28">
    <w:abstractNumId w:val="34"/>
  </w:num>
  <w:num w:numId="29">
    <w:abstractNumId w:val="23"/>
  </w:num>
  <w:num w:numId="30">
    <w:abstractNumId w:val="10"/>
  </w:num>
  <w:num w:numId="31">
    <w:abstractNumId w:val="37"/>
  </w:num>
  <w:num w:numId="32">
    <w:abstractNumId w:val="20"/>
  </w:num>
  <w:num w:numId="33">
    <w:abstractNumId w:val="13"/>
  </w:num>
  <w:num w:numId="34">
    <w:abstractNumId w:val="16"/>
  </w:num>
  <w:num w:numId="35">
    <w:abstractNumId w:val="30"/>
  </w:num>
  <w:num w:numId="36">
    <w:abstractNumId w:val="15"/>
  </w:num>
  <w:num w:numId="37">
    <w:abstractNumId w:val="26"/>
  </w:num>
  <w:num w:numId="3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formatting="1"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130E7"/>
    <w:rsid w:val="00002661"/>
    <w:rsid w:val="000111FD"/>
    <w:rsid w:val="00021312"/>
    <w:rsid w:val="00051C43"/>
    <w:rsid w:val="00085B62"/>
    <w:rsid w:val="00094D54"/>
    <w:rsid w:val="00094E2D"/>
    <w:rsid w:val="000A20CC"/>
    <w:rsid w:val="000A5717"/>
    <w:rsid w:val="000A7979"/>
    <w:rsid w:val="000B76C1"/>
    <w:rsid w:val="000C1D0D"/>
    <w:rsid w:val="000C34CE"/>
    <w:rsid w:val="000D1AA6"/>
    <w:rsid w:val="000E388E"/>
    <w:rsid w:val="000E3F4E"/>
    <w:rsid w:val="000E51B6"/>
    <w:rsid w:val="00102FE1"/>
    <w:rsid w:val="00111A95"/>
    <w:rsid w:val="00122579"/>
    <w:rsid w:val="00131ABA"/>
    <w:rsid w:val="00132253"/>
    <w:rsid w:val="0014740D"/>
    <w:rsid w:val="00151284"/>
    <w:rsid w:val="00181E9A"/>
    <w:rsid w:val="001C6CFB"/>
    <w:rsid w:val="001D4831"/>
    <w:rsid w:val="001D6C7E"/>
    <w:rsid w:val="001D771A"/>
    <w:rsid w:val="001E0298"/>
    <w:rsid w:val="001E63BE"/>
    <w:rsid w:val="002019CB"/>
    <w:rsid w:val="0022346E"/>
    <w:rsid w:val="00223853"/>
    <w:rsid w:val="00245760"/>
    <w:rsid w:val="00280C0D"/>
    <w:rsid w:val="002A245C"/>
    <w:rsid w:val="002B3442"/>
    <w:rsid w:val="002B50DF"/>
    <w:rsid w:val="002B70C2"/>
    <w:rsid w:val="002D3ABF"/>
    <w:rsid w:val="0031261F"/>
    <w:rsid w:val="00315D60"/>
    <w:rsid w:val="00325AE5"/>
    <w:rsid w:val="00336831"/>
    <w:rsid w:val="003551EC"/>
    <w:rsid w:val="00370BB0"/>
    <w:rsid w:val="00371FEE"/>
    <w:rsid w:val="0038623D"/>
    <w:rsid w:val="00393F6F"/>
    <w:rsid w:val="003B26EF"/>
    <w:rsid w:val="003C2E2E"/>
    <w:rsid w:val="003C4948"/>
    <w:rsid w:val="003C50F1"/>
    <w:rsid w:val="003D3BD3"/>
    <w:rsid w:val="003E33DE"/>
    <w:rsid w:val="003E7800"/>
    <w:rsid w:val="00403E7E"/>
    <w:rsid w:val="00406A04"/>
    <w:rsid w:val="00406BF2"/>
    <w:rsid w:val="00420278"/>
    <w:rsid w:val="00447BDB"/>
    <w:rsid w:val="00460A96"/>
    <w:rsid w:val="00464B94"/>
    <w:rsid w:val="004665A3"/>
    <w:rsid w:val="00481FC2"/>
    <w:rsid w:val="00487831"/>
    <w:rsid w:val="004908E2"/>
    <w:rsid w:val="004A3BAB"/>
    <w:rsid w:val="004A7A14"/>
    <w:rsid w:val="004C1048"/>
    <w:rsid w:val="004C3770"/>
    <w:rsid w:val="004E556E"/>
    <w:rsid w:val="004F39AF"/>
    <w:rsid w:val="005025D3"/>
    <w:rsid w:val="00511063"/>
    <w:rsid w:val="005362FE"/>
    <w:rsid w:val="005463FD"/>
    <w:rsid w:val="00554EF2"/>
    <w:rsid w:val="005660EB"/>
    <w:rsid w:val="005663F0"/>
    <w:rsid w:val="005762D7"/>
    <w:rsid w:val="005A642F"/>
    <w:rsid w:val="005E75AB"/>
    <w:rsid w:val="005F1E70"/>
    <w:rsid w:val="005F3A29"/>
    <w:rsid w:val="005F5077"/>
    <w:rsid w:val="006130E7"/>
    <w:rsid w:val="006234E0"/>
    <w:rsid w:val="00643921"/>
    <w:rsid w:val="00647C70"/>
    <w:rsid w:val="00660267"/>
    <w:rsid w:val="0066218A"/>
    <w:rsid w:val="00672CF0"/>
    <w:rsid w:val="0068746E"/>
    <w:rsid w:val="006A1AE9"/>
    <w:rsid w:val="006C0A63"/>
    <w:rsid w:val="006C3669"/>
    <w:rsid w:val="006D494C"/>
    <w:rsid w:val="006E03AD"/>
    <w:rsid w:val="006E2739"/>
    <w:rsid w:val="006F6CC5"/>
    <w:rsid w:val="00720A7F"/>
    <w:rsid w:val="00740343"/>
    <w:rsid w:val="0075034D"/>
    <w:rsid w:val="0075300A"/>
    <w:rsid w:val="00772CED"/>
    <w:rsid w:val="00793692"/>
    <w:rsid w:val="007A0C14"/>
    <w:rsid w:val="007B2AA7"/>
    <w:rsid w:val="007B645E"/>
    <w:rsid w:val="007B7C69"/>
    <w:rsid w:val="007C2D21"/>
    <w:rsid w:val="007C523A"/>
    <w:rsid w:val="007D16BC"/>
    <w:rsid w:val="00801BB1"/>
    <w:rsid w:val="008133AB"/>
    <w:rsid w:val="008206F6"/>
    <w:rsid w:val="00834433"/>
    <w:rsid w:val="00836601"/>
    <w:rsid w:val="00872EDA"/>
    <w:rsid w:val="008771CC"/>
    <w:rsid w:val="00895969"/>
    <w:rsid w:val="008C6546"/>
    <w:rsid w:val="008D0FA9"/>
    <w:rsid w:val="008D1324"/>
    <w:rsid w:val="008E4638"/>
    <w:rsid w:val="008E5A0C"/>
    <w:rsid w:val="008F13D7"/>
    <w:rsid w:val="008F5154"/>
    <w:rsid w:val="009049E0"/>
    <w:rsid w:val="0090747F"/>
    <w:rsid w:val="00924E53"/>
    <w:rsid w:val="009316CC"/>
    <w:rsid w:val="00943190"/>
    <w:rsid w:val="009453AB"/>
    <w:rsid w:val="009532C6"/>
    <w:rsid w:val="00971654"/>
    <w:rsid w:val="00973B81"/>
    <w:rsid w:val="00973C61"/>
    <w:rsid w:val="00973F76"/>
    <w:rsid w:val="009811FA"/>
    <w:rsid w:val="009A1455"/>
    <w:rsid w:val="009A721F"/>
    <w:rsid w:val="009C460B"/>
    <w:rsid w:val="009E5404"/>
    <w:rsid w:val="009F7BB1"/>
    <w:rsid w:val="00A1598F"/>
    <w:rsid w:val="00A37D20"/>
    <w:rsid w:val="00A549DF"/>
    <w:rsid w:val="00A64129"/>
    <w:rsid w:val="00A744F0"/>
    <w:rsid w:val="00A867D3"/>
    <w:rsid w:val="00A922D7"/>
    <w:rsid w:val="00AA40FF"/>
    <w:rsid w:val="00AB2F1E"/>
    <w:rsid w:val="00AD254D"/>
    <w:rsid w:val="00AD7E54"/>
    <w:rsid w:val="00AF67AF"/>
    <w:rsid w:val="00AF6F2B"/>
    <w:rsid w:val="00B05D1F"/>
    <w:rsid w:val="00B243C0"/>
    <w:rsid w:val="00B34D04"/>
    <w:rsid w:val="00B536C7"/>
    <w:rsid w:val="00B54AF2"/>
    <w:rsid w:val="00B65E38"/>
    <w:rsid w:val="00B71874"/>
    <w:rsid w:val="00B77F83"/>
    <w:rsid w:val="00B912B6"/>
    <w:rsid w:val="00BA3E81"/>
    <w:rsid w:val="00BA51C9"/>
    <w:rsid w:val="00BA7DC1"/>
    <w:rsid w:val="00BD6F46"/>
    <w:rsid w:val="00BE22CD"/>
    <w:rsid w:val="00BE5B27"/>
    <w:rsid w:val="00BF627F"/>
    <w:rsid w:val="00C3537E"/>
    <w:rsid w:val="00C71039"/>
    <w:rsid w:val="00C745D0"/>
    <w:rsid w:val="00C77B26"/>
    <w:rsid w:val="00C814A2"/>
    <w:rsid w:val="00C95C2B"/>
    <w:rsid w:val="00CD7943"/>
    <w:rsid w:val="00CE012B"/>
    <w:rsid w:val="00CE4A58"/>
    <w:rsid w:val="00CF31AE"/>
    <w:rsid w:val="00CF7F1E"/>
    <w:rsid w:val="00CF7F3D"/>
    <w:rsid w:val="00D07F3B"/>
    <w:rsid w:val="00D16588"/>
    <w:rsid w:val="00D1710A"/>
    <w:rsid w:val="00D201A9"/>
    <w:rsid w:val="00D50EC5"/>
    <w:rsid w:val="00D57B4F"/>
    <w:rsid w:val="00D72E13"/>
    <w:rsid w:val="00D75DB5"/>
    <w:rsid w:val="00D77384"/>
    <w:rsid w:val="00D9046B"/>
    <w:rsid w:val="00D924C6"/>
    <w:rsid w:val="00D930E8"/>
    <w:rsid w:val="00D96D82"/>
    <w:rsid w:val="00DA295C"/>
    <w:rsid w:val="00DA2E9E"/>
    <w:rsid w:val="00DA31D7"/>
    <w:rsid w:val="00DA3AE9"/>
    <w:rsid w:val="00DB3076"/>
    <w:rsid w:val="00DE31AD"/>
    <w:rsid w:val="00DF29BC"/>
    <w:rsid w:val="00DF5506"/>
    <w:rsid w:val="00E0642D"/>
    <w:rsid w:val="00E11B4E"/>
    <w:rsid w:val="00E21D8E"/>
    <w:rsid w:val="00E24429"/>
    <w:rsid w:val="00E25872"/>
    <w:rsid w:val="00E31A83"/>
    <w:rsid w:val="00E322A6"/>
    <w:rsid w:val="00E45DDF"/>
    <w:rsid w:val="00E566DE"/>
    <w:rsid w:val="00E57895"/>
    <w:rsid w:val="00E67514"/>
    <w:rsid w:val="00E71008"/>
    <w:rsid w:val="00E9155F"/>
    <w:rsid w:val="00E9574F"/>
    <w:rsid w:val="00EA1F8C"/>
    <w:rsid w:val="00EB6006"/>
    <w:rsid w:val="00EB73B7"/>
    <w:rsid w:val="00EF1F2C"/>
    <w:rsid w:val="00F06276"/>
    <w:rsid w:val="00F07425"/>
    <w:rsid w:val="00F22D03"/>
    <w:rsid w:val="00F23E5D"/>
    <w:rsid w:val="00F30174"/>
    <w:rsid w:val="00F323CF"/>
    <w:rsid w:val="00F3358A"/>
    <w:rsid w:val="00F40819"/>
    <w:rsid w:val="00F512D1"/>
    <w:rsid w:val="00F54D28"/>
    <w:rsid w:val="00F57231"/>
    <w:rsid w:val="00F57C62"/>
    <w:rsid w:val="00F704D1"/>
    <w:rsid w:val="00F73A66"/>
    <w:rsid w:val="00F87CF4"/>
    <w:rsid w:val="00F92972"/>
    <w:rsid w:val="00FA4AFA"/>
    <w:rsid w:val="00FB0292"/>
    <w:rsid w:val="00FB51FB"/>
    <w:rsid w:val="00FC03C0"/>
    <w:rsid w:val="00FD1D75"/>
    <w:rsid w:val="00FD523E"/>
    <w:rsid w:val="00FF17E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5CE71"/>
  <w15:docId w15:val="{008E442D-B391-4F5E-B647-4C596D78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67"/>
    <w:rPr>
      <w:sz w:val="24"/>
      <w:szCs w:val="24"/>
      <w:lang w:val="hu-HU" w:eastAsia="hu-HU"/>
    </w:rPr>
  </w:style>
  <w:style w:type="paragraph" w:styleId="Ttulo1">
    <w:name w:val="heading 1"/>
    <w:basedOn w:val="Normal"/>
    <w:next w:val="Textoindependiente"/>
    <w:qFormat/>
    <w:rsid w:val="00660267"/>
    <w:pPr>
      <w:numPr>
        <w:numId w:val="11"/>
      </w:numPr>
      <w:spacing w:after="240"/>
      <w:outlineLvl w:val="0"/>
    </w:pPr>
    <w:rPr>
      <w:b/>
      <w:szCs w:val="20"/>
      <w:lang w:val="en-US" w:eastAsia="en-US"/>
    </w:rPr>
  </w:style>
  <w:style w:type="paragraph" w:styleId="Ttulo2">
    <w:name w:val="heading 2"/>
    <w:basedOn w:val="Normal"/>
    <w:next w:val="Textoindependiente"/>
    <w:qFormat/>
    <w:rsid w:val="00660267"/>
    <w:pPr>
      <w:numPr>
        <w:ilvl w:val="1"/>
        <w:numId w:val="11"/>
      </w:numPr>
      <w:spacing w:after="240"/>
      <w:outlineLvl w:val="1"/>
    </w:pPr>
    <w:rPr>
      <w:szCs w:val="20"/>
      <w:lang w:val="en-US" w:eastAsia="en-US"/>
    </w:rPr>
  </w:style>
  <w:style w:type="paragraph" w:styleId="Ttulo3">
    <w:name w:val="heading 3"/>
    <w:basedOn w:val="Normal"/>
    <w:next w:val="Textoindependiente"/>
    <w:link w:val="Ttulo3Car"/>
    <w:qFormat/>
    <w:rsid w:val="00660267"/>
    <w:pPr>
      <w:numPr>
        <w:ilvl w:val="2"/>
        <w:numId w:val="11"/>
      </w:numPr>
      <w:spacing w:after="240"/>
      <w:outlineLvl w:val="2"/>
    </w:pPr>
    <w:rPr>
      <w:szCs w:val="20"/>
      <w:lang w:val="en-US" w:eastAsia="en-US"/>
    </w:rPr>
  </w:style>
  <w:style w:type="paragraph" w:styleId="Ttulo4">
    <w:name w:val="heading 4"/>
    <w:basedOn w:val="Normal"/>
    <w:next w:val="Textoindependiente"/>
    <w:qFormat/>
    <w:rsid w:val="00660267"/>
    <w:pPr>
      <w:numPr>
        <w:ilvl w:val="3"/>
        <w:numId w:val="11"/>
      </w:numPr>
      <w:spacing w:after="240"/>
      <w:outlineLvl w:val="3"/>
    </w:pPr>
    <w:rPr>
      <w:szCs w:val="20"/>
      <w:lang w:val="en-US" w:eastAsia="en-US"/>
    </w:rPr>
  </w:style>
  <w:style w:type="paragraph" w:styleId="Ttulo5">
    <w:name w:val="heading 5"/>
    <w:basedOn w:val="Normal"/>
    <w:next w:val="Textoindependiente"/>
    <w:qFormat/>
    <w:rsid w:val="00660267"/>
    <w:pPr>
      <w:numPr>
        <w:ilvl w:val="4"/>
        <w:numId w:val="11"/>
      </w:numPr>
      <w:spacing w:after="240"/>
      <w:outlineLvl w:val="4"/>
    </w:pPr>
    <w:rPr>
      <w:szCs w:val="20"/>
      <w:lang w:val="en-US" w:eastAsia="en-US"/>
    </w:rPr>
  </w:style>
  <w:style w:type="paragraph" w:styleId="Ttulo6">
    <w:name w:val="heading 6"/>
    <w:basedOn w:val="Normal"/>
    <w:next w:val="Textoindependiente"/>
    <w:qFormat/>
    <w:rsid w:val="00660267"/>
    <w:pPr>
      <w:numPr>
        <w:ilvl w:val="5"/>
        <w:numId w:val="11"/>
      </w:numPr>
      <w:spacing w:after="240"/>
      <w:outlineLvl w:val="5"/>
    </w:pPr>
    <w:rPr>
      <w:szCs w:val="20"/>
      <w:lang w:val="en-US" w:eastAsia="en-US"/>
    </w:rPr>
  </w:style>
  <w:style w:type="paragraph" w:styleId="Ttulo7">
    <w:name w:val="heading 7"/>
    <w:basedOn w:val="Normal"/>
    <w:next w:val="Textoindependiente"/>
    <w:qFormat/>
    <w:rsid w:val="00660267"/>
    <w:pPr>
      <w:numPr>
        <w:ilvl w:val="6"/>
        <w:numId w:val="11"/>
      </w:numPr>
      <w:spacing w:after="240"/>
      <w:outlineLvl w:val="6"/>
    </w:pPr>
    <w:rPr>
      <w:szCs w:val="20"/>
      <w:lang w:val="en-US" w:eastAsia="en-US"/>
    </w:rPr>
  </w:style>
  <w:style w:type="paragraph" w:styleId="Ttulo8">
    <w:name w:val="heading 8"/>
    <w:basedOn w:val="Normal"/>
    <w:next w:val="Textoindependiente"/>
    <w:qFormat/>
    <w:rsid w:val="00660267"/>
    <w:pPr>
      <w:numPr>
        <w:ilvl w:val="7"/>
        <w:numId w:val="11"/>
      </w:numPr>
      <w:spacing w:after="240"/>
      <w:outlineLvl w:val="7"/>
    </w:pPr>
    <w:rPr>
      <w:szCs w:val="20"/>
      <w:lang w:val="en-US" w:eastAsia="en-US"/>
    </w:rPr>
  </w:style>
  <w:style w:type="paragraph" w:styleId="Ttulo9">
    <w:name w:val="heading 9"/>
    <w:basedOn w:val="Normal"/>
    <w:next w:val="Textoindependiente"/>
    <w:qFormat/>
    <w:rsid w:val="00660267"/>
    <w:pPr>
      <w:numPr>
        <w:ilvl w:val="8"/>
        <w:numId w:val="11"/>
      </w:numPr>
      <w:spacing w:after="240"/>
      <w:outlineLvl w:val="8"/>
    </w:pPr>
    <w:rPr>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660267"/>
    <w:pPr>
      <w:spacing w:after="240"/>
      <w:ind w:left="720"/>
    </w:pPr>
    <w:rPr>
      <w:szCs w:val="20"/>
      <w:lang w:val="en-US" w:eastAsia="en-US"/>
    </w:rPr>
  </w:style>
  <w:style w:type="paragraph" w:styleId="Listaconvietas5">
    <w:name w:val="List Bullet 5"/>
    <w:basedOn w:val="Normal"/>
    <w:autoRedefine/>
    <w:semiHidden/>
    <w:rsid w:val="00660267"/>
    <w:pPr>
      <w:numPr>
        <w:numId w:val="1"/>
      </w:numPr>
      <w:tabs>
        <w:tab w:val="clear" w:pos="1492"/>
        <w:tab w:val="num" w:pos="3600"/>
      </w:tabs>
      <w:ind w:left="3600" w:hanging="720"/>
    </w:pPr>
    <w:rPr>
      <w:szCs w:val="20"/>
      <w:lang w:val="en-US" w:eastAsia="en-US"/>
    </w:rPr>
  </w:style>
  <w:style w:type="paragraph" w:styleId="Listaconvietas4">
    <w:name w:val="List Bullet 4"/>
    <w:basedOn w:val="Normal"/>
    <w:autoRedefine/>
    <w:semiHidden/>
    <w:rsid w:val="00660267"/>
    <w:pPr>
      <w:numPr>
        <w:numId w:val="2"/>
      </w:numPr>
      <w:tabs>
        <w:tab w:val="clear" w:pos="1209"/>
        <w:tab w:val="num" w:pos="2880"/>
      </w:tabs>
      <w:ind w:left="2880" w:hanging="720"/>
    </w:pPr>
    <w:rPr>
      <w:szCs w:val="20"/>
      <w:lang w:val="en-US" w:eastAsia="en-US"/>
    </w:rPr>
  </w:style>
  <w:style w:type="paragraph" w:styleId="Listaconnmeros5">
    <w:name w:val="List Number 5"/>
    <w:basedOn w:val="Normal"/>
    <w:semiHidden/>
    <w:rsid w:val="00660267"/>
    <w:pPr>
      <w:numPr>
        <w:numId w:val="3"/>
      </w:numPr>
      <w:tabs>
        <w:tab w:val="clear" w:pos="1492"/>
        <w:tab w:val="num" w:pos="3600"/>
      </w:tabs>
      <w:ind w:left="3600" w:hanging="720"/>
    </w:pPr>
    <w:rPr>
      <w:szCs w:val="20"/>
      <w:lang w:val="en-US" w:eastAsia="en-US"/>
    </w:rPr>
  </w:style>
  <w:style w:type="paragraph" w:styleId="Listaconvietas3">
    <w:name w:val="List Bullet 3"/>
    <w:basedOn w:val="Normal"/>
    <w:autoRedefine/>
    <w:semiHidden/>
    <w:rsid w:val="00660267"/>
    <w:pPr>
      <w:numPr>
        <w:numId w:val="4"/>
      </w:numPr>
      <w:tabs>
        <w:tab w:val="clear" w:pos="926"/>
        <w:tab w:val="num" w:pos="2160"/>
      </w:tabs>
      <w:ind w:left="2160" w:hanging="720"/>
    </w:pPr>
    <w:rPr>
      <w:szCs w:val="20"/>
      <w:lang w:val="en-US" w:eastAsia="en-US"/>
    </w:rPr>
  </w:style>
  <w:style w:type="paragraph" w:styleId="Listaconvietas2">
    <w:name w:val="List Bullet 2"/>
    <w:basedOn w:val="Normal"/>
    <w:autoRedefine/>
    <w:semiHidden/>
    <w:rsid w:val="00660267"/>
    <w:pPr>
      <w:numPr>
        <w:numId w:val="5"/>
      </w:numPr>
      <w:tabs>
        <w:tab w:val="clear" w:pos="643"/>
        <w:tab w:val="num" w:pos="1440"/>
      </w:tabs>
      <w:ind w:left="1440" w:hanging="720"/>
    </w:pPr>
    <w:rPr>
      <w:szCs w:val="20"/>
      <w:lang w:val="en-US" w:eastAsia="en-US"/>
    </w:rPr>
  </w:style>
  <w:style w:type="paragraph" w:styleId="Listaconvietas">
    <w:name w:val="List Bullet"/>
    <w:basedOn w:val="Normal"/>
    <w:autoRedefine/>
    <w:semiHidden/>
    <w:rsid w:val="00660267"/>
    <w:pPr>
      <w:numPr>
        <w:numId w:val="6"/>
      </w:numPr>
      <w:tabs>
        <w:tab w:val="clear" w:pos="360"/>
        <w:tab w:val="num" w:pos="720"/>
      </w:tabs>
      <w:ind w:left="720" w:hanging="720"/>
    </w:pPr>
    <w:rPr>
      <w:szCs w:val="20"/>
      <w:lang w:val="en-US" w:eastAsia="en-US"/>
    </w:rPr>
  </w:style>
  <w:style w:type="paragraph" w:styleId="Listaconnmeros4">
    <w:name w:val="List Number 4"/>
    <w:basedOn w:val="Normal"/>
    <w:semiHidden/>
    <w:rsid w:val="00660267"/>
    <w:pPr>
      <w:numPr>
        <w:numId w:val="7"/>
      </w:numPr>
      <w:tabs>
        <w:tab w:val="clear" w:pos="1209"/>
        <w:tab w:val="num" w:pos="2880"/>
      </w:tabs>
      <w:ind w:left="2880" w:hanging="720"/>
    </w:pPr>
    <w:rPr>
      <w:szCs w:val="20"/>
      <w:lang w:val="en-US" w:eastAsia="en-US"/>
    </w:rPr>
  </w:style>
  <w:style w:type="paragraph" w:styleId="Listaconnmeros3">
    <w:name w:val="List Number 3"/>
    <w:basedOn w:val="Normal"/>
    <w:semiHidden/>
    <w:rsid w:val="00660267"/>
    <w:pPr>
      <w:numPr>
        <w:numId w:val="8"/>
      </w:numPr>
      <w:tabs>
        <w:tab w:val="clear" w:pos="926"/>
        <w:tab w:val="num" w:pos="2160"/>
      </w:tabs>
      <w:ind w:left="2160" w:hanging="720"/>
    </w:pPr>
    <w:rPr>
      <w:szCs w:val="20"/>
      <w:lang w:val="en-US" w:eastAsia="en-US"/>
    </w:rPr>
  </w:style>
  <w:style w:type="paragraph" w:styleId="Listaconnmeros2">
    <w:name w:val="List Number 2"/>
    <w:basedOn w:val="Normal"/>
    <w:semiHidden/>
    <w:rsid w:val="00660267"/>
    <w:pPr>
      <w:numPr>
        <w:numId w:val="9"/>
      </w:numPr>
      <w:tabs>
        <w:tab w:val="clear" w:pos="643"/>
        <w:tab w:val="num" w:pos="1440"/>
      </w:tabs>
      <w:ind w:left="1440" w:hanging="720"/>
    </w:pPr>
    <w:rPr>
      <w:szCs w:val="20"/>
      <w:lang w:val="en-US" w:eastAsia="en-US"/>
    </w:rPr>
  </w:style>
  <w:style w:type="paragraph" w:styleId="Listaconnmeros">
    <w:name w:val="List Number"/>
    <w:basedOn w:val="Normal"/>
    <w:semiHidden/>
    <w:rsid w:val="00660267"/>
    <w:pPr>
      <w:numPr>
        <w:numId w:val="10"/>
      </w:numPr>
      <w:tabs>
        <w:tab w:val="clear" w:pos="360"/>
        <w:tab w:val="num" w:pos="720"/>
      </w:tabs>
      <w:ind w:left="720" w:hanging="720"/>
    </w:pPr>
    <w:rPr>
      <w:szCs w:val="20"/>
      <w:lang w:val="en-US" w:eastAsia="en-US"/>
    </w:rPr>
  </w:style>
  <w:style w:type="paragraph" w:customStyle="1" w:styleId="BoldCapCenter">
    <w:name w:val="BoldCapCenter"/>
    <w:basedOn w:val="Normal"/>
    <w:next w:val="Textoindependiente"/>
    <w:rsid w:val="00660267"/>
    <w:pPr>
      <w:keepNext/>
      <w:spacing w:after="240"/>
      <w:jc w:val="center"/>
    </w:pPr>
    <w:rPr>
      <w:b/>
      <w:caps/>
      <w:szCs w:val="20"/>
      <w:lang w:val="en-US" w:eastAsia="en-US"/>
    </w:rPr>
  </w:style>
  <w:style w:type="character" w:styleId="Refdenotaalpie">
    <w:name w:val="footnote reference"/>
    <w:semiHidden/>
    <w:rsid w:val="00660267"/>
    <w:rPr>
      <w:rFonts w:ascii="Times New Roman" w:hAnsi="Times New Roman"/>
      <w:sz w:val="24"/>
      <w:vertAlign w:val="superscript"/>
    </w:rPr>
  </w:style>
  <w:style w:type="paragraph" w:styleId="Textonotapie">
    <w:name w:val="footnote text"/>
    <w:basedOn w:val="Normal"/>
    <w:semiHidden/>
    <w:rsid w:val="00660267"/>
    <w:pPr>
      <w:spacing w:after="120"/>
      <w:ind w:firstLine="720"/>
    </w:pPr>
    <w:rPr>
      <w:sz w:val="20"/>
      <w:szCs w:val="20"/>
      <w:lang w:val="en-US" w:eastAsia="en-US"/>
    </w:rPr>
  </w:style>
  <w:style w:type="paragraph" w:styleId="Textoindependiente2">
    <w:name w:val="Body Text 2"/>
    <w:basedOn w:val="Normal"/>
    <w:semiHidden/>
    <w:rsid w:val="00660267"/>
    <w:pPr>
      <w:widowControl w:val="0"/>
      <w:autoSpaceDE w:val="0"/>
      <w:autoSpaceDN w:val="0"/>
      <w:adjustRightInd w:val="0"/>
      <w:spacing w:line="380" w:lineRule="exact"/>
      <w:ind w:right="5524"/>
    </w:pPr>
    <w:rPr>
      <w:rFonts w:ascii="Bookman Old Style" w:hAnsi="Bookman Old Style"/>
      <w:b/>
      <w:bCs/>
      <w:color w:val="F1D9B8"/>
      <w:sz w:val="32"/>
      <w:szCs w:val="32"/>
      <w:lang w:val="en-GB"/>
    </w:rPr>
  </w:style>
  <w:style w:type="character" w:styleId="Textoennegrita">
    <w:name w:val="Strong"/>
    <w:uiPriority w:val="22"/>
    <w:qFormat/>
    <w:rsid w:val="00801BB1"/>
    <w:rPr>
      <w:b/>
      <w:bCs/>
    </w:rPr>
  </w:style>
  <w:style w:type="paragraph" w:styleId="Textodeglobo">
    <w:name w:val="Balloon Text"/>
    <w:basedOn w:val="Normal"/>
    <w:link w:val="TextodegloboCar"/>
    <w:uiPriority w:val="99"/>
    <w:semiHidden/>
    <w:unhideWhenUsed/>
    <w:rsid w:val="00DF29BC"/>
    <w:rPr>
      <w:rFonts w:ascii="Tahoma" w:hAnsi="Tahoma" w:cs="Tahoma"/>
      <w:sz w:val="16"/>
      <w:szCs w:val="16"/>
    </w:rPr>
  </w:style>
  <w:style w:type="character" w:customStyle="1" w:styleId="TextodegloboCar">
    <w:name w:val="Texto de globo Car"/>
    <w:link w:val="Textodeglobo"/>
    <w:uiPriority w:val="99"/>
    <w:semiHidden/>
    <w:rsid w:val="00DF29BC"/>
    <w:rPr>
      <w:rFonts w:ascii="Tahoma" w:hAnsi="Tahoma" w:cs="Tahoma"/>
      <w:sz w:val="16"/>
      <w:szCs w:val="16"/>
    </w:rPr>
  </w:style>
  <w:style w:type="character" w:styleId="Refdecomentario">
    <w:name w:val="annotation reference"/>
    <w:uiPriority w:val="99"/>
    <w:semiHidden/>
    <w:unhideWhenUsed/>
    <w:rsid w:val="00DE31AD"/>
    <w:rPr>
      <w:sz w:val="16"/>
      <w:szCs w:val="16"/>
    </w:rPr>
  </w:style>
  <w:style w:type="paragraph" w:styleId="Textocomentario">
    <w:name w:val="annotation text"/>
    <w:basedOn w:val="Normal"/>
    <w:link w:val="TextocomentarioCar"/>
    <w:uiPriority w:val="99"/>
    <w:semiHidden/>
    <w:unhideWhenUsed/>
    <w:rsid w:val="00DE31AD"/>
    <w:rPr>
      <w:sz w:val="20"/>
      <w:szCs w:val="20"/>
    </w:rPr>
  </w:style>
  <w:style w:type="character" w:customStyle="1" w:styleId="TextocomentarioCar">
    <w:name w:val="Texto comentario Car"/>
    <w:link w:val="Textocomentario"/>
    <w:uiPriority w:val="99"/>
    <w:semiHidden/>
    <w:rsid w:val="00DE31AD"/>
    <w:rPr>
      <w:lang w:val="hu-HU" w:eastAsia="hu-HU"/>
    </w:rPr>
  </w:style>
  <w:style w:type="paragraph" w:styleId="Asuntodelcomentario">
    <w:name w:val="annotation subject"/>
    <w:basedOn w:val="Textocomentario"/>
    <w:next w:val="Textocomentario"/>
    <w:link w:val="AsuntodelcomentarioCar"/>
    <w:uiPriority w:val="99"/>
    <w:semiHidden/>
    <w:unhideWhenUsed/>
    <w:rsid w:val="00DE31AD"/>
    <w:rPr>
      <w:b/>
      <w:bCs/>
    </w:rPr>
  </w:style>
  <w:style w:type="character" w:customStyle="1" w:styleId="AsuntodelcomentarioCar">
    <w:name w:val="Asunto del comentario Car"/>
    <w:link w:val="Asuntodelcomentario"/>
    <w:uiPriority w:val="99"/>
    <w:semiHidden/>
    <w:rsid w:val="00DE31AD"/>
    <w:rPr>
      <w:b/>
      <w:bCs/>
      <w:lang w:val="hu-HU" w:eastAsia="hu-HU"/>
    </w:rPr>
  </w:style>
  <w:style w:type="paragraph" w:styleId="Encabezado">
    <w:name w:val="header"/>
    <w:basedOn w:val="Normal"/>
    <w:link w:val="EncabezadoCar"/>
    <w:uiPriority w:val="99"/>
    <w:unhideWhenUsed/>
    <w:rsid w:val="00BF627F"/>
    <w:pPr>
      <w:tabs>
        <w:tab w:val="center" w:pos="4536"/>
        <w:tab w:val="right" w:pos="9072"/>
      </w:tabs>
    </w:pPr>
  </w:style>
  <w:style w:type="character" w:customStyle="1" w:styleId="EncabezadoCar">
    <w:name w:val="Encabezado Car"/>
    <w:link w:val="Encabezado"/>
    <w:uiPriority w:val="99"/>
    <w:rsid w:val="00BF627F"/>
    <w:rPr>
      <w:sz w:val="24"/>
      <w:szCs w:val="24"/>
    </w:rPr>
  </w:style>
  <w:style w:type="paragraph" w:styleId="Piedepgina">
    <w:name w:val="footer"/>
    <w:basedOn w:val="Normal"/>
    <w:link w:val="PiedepginaCar"/>
    <w:uiPriority w:val="99"/>
    <w:unhideWhenUsed/>
    <w:rsid w:val="00BF627F"/>
    <w:pPr>
      <w:tabs>
        <w:tab w:val="center" w:pos="4536"/>
        <w:tab w:val="right" w:pos="9072"/>
      </w:tabs>
    </w:pPr>
  </w:style>
  <w:style w:type="character" w:customStyle="1" w:styleId="PiedepginaCar">
    <w:name w:val="Pie de página Car"/>
    <w:link w:val="Piedepgina"/>
    <w:uiPriority w:val="99"/>
    <w:rsid w:val="00BF627F"/>
    <w:rPr>
      <w:sz w:val="24"/>
      <w:szCs w:val="24"/>
    </w:rPr>
  </w:style>
  <w:style w:type="character" w:styleId="Hipervnculo">
    <w:name w:val="Hyperlink"/>
    <w:uiPriority w:val="99"/>
    <w:unhideWhenUsed/>
    <w:rsid w:val="0022346E"/>
    <w:rPr>
      <w:color w:val="0563C1"/>
      <w:u w:val="single"/>
    </w:rPr>
  </w:style>
  <w:style w:type="character" w:customStyle="1" w:styleId="Mencinsinresolver1">
    <w:name w:val="Mención sin resolver1"/>
    <w:basedOn w:val="Fuentedeprrafopredeter"/>
    <w:uiPriority w:val="99"/>
    <w:semiHidden/>
    <w:unhideWhenUsed/>
    <w:rsid w:val="0022346E"/>
    <w:rPr>
      <w:color w:val="605E5C"/>
      <w:shd w:val="clear" w:color="auto" w:fill="E1DFDD"/>
    </w:rPr>
  </w:style>
  <w:style w:type="character" w:styleId="Hipervnculovisitado">
    <w:name w:val="FollowedHyperlink"/>
    <w:basedOn w:val="Fuentedeprrafopredeter"/>
    <w:uiPriority w:val="99"/>
    <w:semiHidden/>
    <w:unhideWhenUsed/>
    <w:rsid w:val="0022346E"/>
    <w:rPr>
      <w:color w:val="954F72" w:themeColor="followedHyperlink"/>
      <w:u w:val="single"/>
    </w:rPr>
  </w:style>
  <w:style w:type="character" w:customStyle="1" w:styleId="Ttulo3Car">
    <w:name w:val="Título 3 Car"/>
    <w:link w:val="Ttulo3"/>
    <w:rsid w:val="00E31A83"/>
    <w:rPr>
      <w:sz w:val="24"/>
      <w:lang w:val="en-US" w:eastAsia="en-US"/>
    </w:rPr>
  </w:style>
  <w:style w:type="paragraph" w:styleId="HTMLconformatoprevio">
    <w:name w:val="HTML Preformatted"/>
    <w:basedOn w:val="Normal"/>
    <w:link w:val="HTMLconformatoprevioCar"/>
    <w:uiPriority w:val="99"/>
    <w:unhideWhenUsed/>
    <w:rsid w:val="0093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9316CC"/>
    <w:rPr>
      <w:rFonts w:ascii="Courier New" w:hAnsi="Courier New" w:cs="Courier New"/>
    </w:rPr>
  </w:style>
  <w:style w:type="character" w:customStyle="1" w:styleId="apple-converted-space">
    <w:name w:val="apple-converted-space"/>
    <w:rsid w:val="00EF1F2C"/>
  </w:style>
  <w:style w:type="character" w:customStyle="1" w:styleId="Mencinsinresolver2">
    <w:name w:val="Mención sin resolver2"/>
    <w:basedOn w:val="Fuentedeprrafopredeter"/>
    <w:uiPriority w:val="99"/>
    <w:semiHidden/>
    <w:unhideWhenUsed/>
    <w:rsid w:val="00B91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57398">
      <w:bodyDiv w:val="1"/>
      <w:marLeft w:val="0"/>
      <w:marRight w:val="0"/>
      <w:marTop w:val="0"/>
      <w:marBottom w:val="0"/>
      <w:divBdr>
        <w:top w:val="none" w:sz="0" w:space="0" w:color="auto"/>
        <w:left w:val="none" w:sz="0" w:space="0" w:color="auto"/>
        <w:bottom w:val="none" w:sz="0" w:space="0" w:color="auto"/>
        <w:right w:val="none" w:sz="0" w:space="0" w:color="auto"/>
      </w:divBdr>
    </w:div>
    <w:div w:id="280459068">
      <w:bodyDiv w:val="1"/>
      <w:marLeft w:val="0"/>
      <w:marRight w:val="0"/>
      <w:marTop w:val="0"/>
      <w:marBottom w:val="0"/>
      <w:divBdr>
        <w:top w:val="none" w:sz="0" w:space="0" w:color="auto"/>
        <w:left w:val="none" w:sz="0" w:space="0" w:color="auto"/>
        <w:bottom w:val="none" w:sz="0" w:space="0" w:color="auto"/>
        <w:right w:val="none" w:sz="0" w:space="0" w:color="auto"/>
      </w:divBdr>
    </w:div>
    <w:div w:id="384381153">
      <w:bodyDiv w:val="1"/>
      <w:marLeft w:val="0"/>
      <w:marRight w:val="0"/>
      <w:marTop w:val="0"/>
      <w:marBottom w:val="0"/>
      <w:divBdr>
        <w:top w:val="none" w:sz="0" w:space="0" w:color="auto"/>
        <w:left w:val="none" w:sz="0" w:space="0" w:color="auto"/>
        <w:bottom w:val="none" w:sz="0" w:space="0" w:color="auto"/>
        <w:right w:val="none" w:sz="0" w:space="0" w:color="auto"/>
      </w:divBdr>
    </w:div>
    <w:div w:id="460346723">
      <w:bodyDiv w:val="1"/>
      <w:marLeft w:val="0"/>
      <w:marRight w:val="0"/>
      <w:marTop w:val="0"/>
      <w:marBottom w:val="0"/>
      <w:divBdr>
        <w:top w:val="none" w:sz="0" w:space="0" w:color="auto"/>
        <w:left w:val="none" w:sz="0" w:space="0" w:color="auto"/>
        <w:bottom w:val="none" w:sz="0" w:space="0" w:color="auto"/>
        <w:right w:val="none" w:sz="0" w:space="0" w:color="auto"/>
      </w:divBdr>
    </w:div>
    <w:div w:id="519778341">
      <w:bodyDiv w:val="1"/>
      <w:marLeft w:val="0"/>
      <w:marRight w:val="0"/>
      <w:marTop w:val="0"/>
      <w:marBottom w:val="0"/>
      <w:divBdr>
        <w:top w:val="none" w:sz="0" w:space="0" w:color="auto"/>
        <w:left w:val="none" w:sz="0" w:space="0" w:color="auto"/>
        <w:bottom w:val="none" w:sz="0" w:space="0" w:color="auto"/>
        <w:right w:val="none" w:sz="0" w:space="0" w:color="auto"/>
      </w:divBdr>
    </w:div>
    <w:div w:id="545291308">
      <w:bodyDiv w:val="1"/>
      <w:marLeft w:val="0"/>
      <w:marRight w:val="0"/>
      <w:marTop w:val="0"/>
      <w:marBottom w:val="0"/>
      <w:divBdr>
        <w:top w:val="none" w:sz="0" w:space="0" w:color="auto"/>
        <w:left w:val="none" w:sz="0" w:space="0" w:color="auto"/>
        <w:bottom w:val="none" w:sz="0" w:space="0" w:color="auto"/>
        <w:right w:val="none" w:sz="0" w:space="0" w:color="auto"/>
      </w:divBdr>
    </w:div>
    <w:div w:id="574314338">
      <w:bodyDiv w:val="1"/>
      <w:marLeft w:val="0"/>
      <w:marRight w:val="0"/>
      <w:marTop w:val="0"/>
      <w:marBottom w:val="0"/>
      <w:divBdr>
        <w:top w:val="none" w:sz="0" w:space="0" w:color="auto"/>
        <w:left w:val="none" w:sz="0" w:space="0" w:color="auto"/>
        <w:bottom w:val="none" w:sz="0" w:space="0" w:color="auto"/>
        <w:right w:val="none" w:sz="0" w:space="0" w:color="auto"/>
      </w:divBdr>
    </w:div>
    <w:div w:id="625311098">
      <w:bodyDiv w:val="1"/>
      <w:marLeft w:val="0"/>
      <w:marRight w:val="0"/>
      <w:marTop w:val="0"/>
      <w:marBottom w:val="0"/>
      <w:divBdr>
        <w:top w:val="none" w:sz="0" w:space="0" w:color="auto"/>
        <w:left w:val="none" w:sz="0" w:space="0" w:color="auto"/>
        <w:bottom w:val="none" w:sz="0" w:space="0" w:color="auto"/>
        <w:right w:val="none" w:sz="0" w:space="0" w:color="auto"/>
      </w:divBdr>
    </w:div>
    <w:div w:id="686491210">
      <w:bodyDiv w:val="1"/>
      <w:marLeft w:val="0"/>
      <w:marRight w:val="0"/>
      <w:marTop w:val="0"/>
      <w:marBottom w:val="0"/>
      <w:divBdr>
        <w:top w:val="none" w:sz="0" w:space="0" w:color="auto"/>
        <w:left w:val="none" w:sz="0" w:space="0" w:color="auto"/>
        <w:bottom w:val="none" w:sz="0" w:space="0" w:color="auto"/>
        <w:right w:val="none" w:sz="0" w:space="0" w:color="auto"/>
      </w:divBdr>
    </w:div>
    <w:div w:id="706444177">
      <w:bodyDiv w:val="1"/>
      <w:marLeft w:val="0"/>
      <w:marRight w:val="0"/>
      <w:marTop w:val="0"/>
      <w:marBottom w:val="0"/>
      <w:divBdr>
        <w:top w:val="none" w:sz="0" w:space="0" w:color="auto"/>
        <w:left w:val="none" w:sz="0" w:space="0" w:color="auto"/>
        <w:bottom w:val="none" w:sz="0" w:space="0" w:color="auto"/>
        <w:right w:val="none" w:sz="0" w:space="0" w:color="auto"/>
      </w:divBdr>
    </w:div>
    <w:div w:id="1060981672">
      <w:bodyDiv w:val="1"/>
      <w:marLeft w:val="0"/>
      <w:marRight w:val="0"/>
      <w:marTop w:val="0"/>
      <w:marBottom w:val="0"/>
      <w:divBdr>
        <w:top w:val="none" w:sz="0" w:space="0" w:color="auto"/>
        <w:left w:val="none" w:sz="0" w:space="0" w:color="auto"/>
        <w:bottom w:val="none" w:sz="0" w:space="0" w:color="auto"/>
        <w:right w:val="none" w:sz="0" w:space="0" w:color="auto"/>
      </w:divBdr>
    </w:div>
    <w:div w:id="1070007538">
      <w:bodyDiv w:val="1"/>
      <w:marLeft w:val="0"/>
      <w:marRight w:val="0"/>
      <w:marTop w:val="0"/>
      <w:marBottom w:val="0"/>
      <w:divBdr>
        <w:top w:val="none" w:sz="0" w:space="0" w:color="auto"/>
        <w:left w:val="none" w:sz="0" w:space="0" w:color="auto"/>
        <w:bottom w:val="none" w:sz="0" w:space="0" w:color="auto"/>
        <w:right w:val="none" w:sz="0" w:space="0" w:color="auto"/>
      </w:divBdr>
    </w:div>
    <w:div w:id="1310356837">
      <w:bodyDiv w:val="1"/>
      <w:marLeft w:val="0"/>
      <w:marRight w:val="0"/>
      <w:marTop w:val="0"/>
      <w:marBottom w:val="0"/>
      <w:divBdr>
        <w:top w:val="none" w:sz="0" w:space="0" w:color="auto"/>
        <w:left w:val="none" w:sz="0" w:space="0" w:color="auto"/>
        <w:bottom w:val="none" w:sz="0" w:space="0" w:color="auto"/>
        <w:right w:val="none" w:sz="0" w:space="0" w:color="auto"/>
      </w:divBdr>
    </w:div>
    <w:div w:id="1332685589">
      <w:bodyDiv w:val="1"/>
      <w:marLeft w:val="0"/>
      <w:marRight w:val="0"/>
      <w:marTop w:val="0"/>
      <w:marBottom w:val="0"/>
      <w:divBdr>
        <w:top w:val="none" w:sz="0" w:space="0" w:color="auto"/>
        <w:left w:val="none" w:sz="0" w:space="0" w:color="auto"/>
        <w:bottom w:val="none" w:sz="0" w:space="0" w:color="auto"/>
        <w:right w:val="none" w:sz="0" w:space="0" w:color="auto"/>
      </w:divBdr>
    </w:div>
    <w:div w:id="1368331072">
      <w:bodyDiv w:val="1"/>
      <w:marLeft w:val="0"/>
      <w:marRight w:val="0"/>
      <w:marTop w:val="0"/>
      <w:marBottom w:val="0"/>
      <w:divBdr>
        <w:top w:val="none" w:sz="0" w:space="0" w:color="auto"/>
        <w:left w:val="none" w:sz="0" w:space="0" w:color="auto"/>
        <w:bottom w:val="none" w:sz="0" w:space="0" w:color="auto"/>
        <w:right w:val="none" w:sz="0" w:space="0" w:color="auto"/>
      </w:divBdr>
    </w:div>
    <w:div w:id="1578202925">
      <w:bodyDiv w:val="1"/>
      <w:marLeft w:val="0"/>
      <w:marRight w:val="0"/>
      <w:marTop w:val="0"/>
      <w:marBottom w:val="0"/>
      <w:divBdr>
        <w:top w:val="none" w:sz="0" w:space="0" w:color="auto"/>
        <w:left w:val="none" w:sz="0" w:space="0" w:color="auto"/>
        <w:bottom w:val="none" w:sz="0" w:space="0" w:color="auto"/>
        <w:right w:val="none" w:sz="0" w:space="0" w:color="auto"/>
      </w:divBdr>
    </w:div>
    <w:div w:id="1707096847">
      <w:bodyDiv w:val="1"/>
      <w:marLeft w:val="0"/>
      <w:marRight w:val="0"/>
      <w:marTop w:val="0"/>
      <w:marBottom w:val="0"/>
      <w:divBdr>
        <w:top w:val="none" w:sz="0" w:space="0" w:color="auto"/>
        <w:left w:val="none" w:sz="0" w:space="0" w:color="auto"/>
        <w:bottom w:val="none" w:sz="0" w:space="0" w:color="auto"/>
        <w:right w:val="none" w:sz="0" w:space="0" w:color="auto"/>
      </w:divBdr>
      <w:divsChild>
        <w:div w:id="466317212">
          <w:marLeft w:val="0"/>
          <w:marRight w:val="0"/>
          <w:marTop w:val="0"/>
          <w:marBottom w:val="0"/>
          <w:divBdr>
            <w:top w:val="none" w:sz="0" w:space="0" w:color="auto"/>
            <w:left w:val="none" w:sz="0" w:space="0" w:color="auto"/>
            <w:bottom w:val="none" w:sz="0" w:space="0" w:color="auto"/>
            <w:right w:val="none" w:sz="0" w:space="0" w:color="auto"/>
          </w:divBdr>
        </w:div>
        <w:div w:id="611941911">
          <w:marLeft w:val="0"/>
          <w:marRight w:val="0"/>
          <w:marTop w:val="0"/>
          <w:marBottom w:val="0"/>
          <w:divBdr>
            <w:top w:val="none" w:sz="0" w:space="0" w:color="auto"/>
            <w:left w:val="none" w:sz="0" w:space="0" w:color="auto"/>
            <w:bottom w:val="none" w:sz="0" w:space="0" w:color="auto"/>
            <w:right w:val="none" w:sz="0" w:space="0" w:color="auto"/>
          </w:divBdr>
        </w:div>
        <w:div w:id="615452311">
          <w:marLeft w:val="0"/>
          <w:marRight w:val="0"/>
          <w:marTop w:val="0"/>
          <w:marBottom w:val="0"/>
          <w:divBdr>
            <w:top w:val="none" w:sz="0" w:space="0" w:color="auto"/>
            <w:left w:val="none" w:sz="0" w:space="0" w:color="auto"/>
            <w:bottom w:val="none" w:sz="0" w:space="0" w:color="auto"/>
            <w:right w:val="none" w:sz="0" w:space="0" w:color="auto"/>
          </w:divBdr>
        </w:div>
        <w:div w:id="949050365">
          <w:marLeft w:val="0"/>
          <w:marRight w:val="0"/>
          <w:marTop w:val="0"/>
          <w:marBottom w:val="0"/>
          <w:divBdr>
            <w:top w:val="none" w:sz="0" w:space="0" w:color="auto"/>
            <w:left w:val="none" w:sz="0" w:space="0" w:color="auto"/>
            <w:bottom w:val="none" w:sz="0" w:space="0" w:color="auto"/>
            <w:right w:val="none" w:sz="0" w:space="0" w:color="auto"/>
          </w:divBdr>
        </w:div>
        <w:div w:id="1395930974">
          <w:marLeft w:val="0"/>
          <w:marRight w:val="0"/>
          <w:marTop w:val="0"/>
          <w:marBottom w:val="0"/>
          <w:divBdr>
            <w:top w:val="none" w:sz="0" w:space="0" w:color="auto"/>
            <w:left w:val="none" w:sz="0" w:space="0" w:color="auto"/>
            <w:bottom w:val="none" w:sz="0" w:space="0" w:color="auto"/>
            <w:right w:val="none" w:sz="0" w:space="0" w:color="auto"/>
          </w:divBdr>
        </w:div>
        <w:div w:id="1533684443">
          <w:marLeft w:val="0"/>
          <w:marRight w:val="0"/>
          <w:marTop w:val="0"/>
          <w:marBottom w:val="0"/>
          <w:divBdr>
            <w:top w:val="none" w:sz="0" w:space="0" w:color="auto"/>
            <w:left w:val="none" w:sz="0" w:space="0" w:color="auto"/>
            <w:bottom w:val="none" w:sz="0" w:space="0" w:color="auto"/>
            <w:right w:val="none" w:sz="0" w:space="0" w:color="auto"/>
          </w:divBdr>
        </w:div>
      </w:divsChild>
    </w:div>
    <w:div w:id="1725064178">
      <w:bodyDiv w:val="1"/>
      <w:marLeft w:val="0"/>
      <w:marRight w:val="0"/>
      <w:marTop w:val="0"/>
      <w:marBottom w:val="0"/>
      <w:divBdr>
        <w:top w:val="none" w:sz="0" w:space="0" w:color="auto"/>
        <w:left w:val="none" w:sz="0" w:space="0" w:color="auto"/>
        <w:bottom w:val="none" w:sz="0" w:space="0" w:color="auto"/>
        <w:right w:val="none" w:sz="0" w:space="0" w:color="auto"/>
      </w:divBdr>
    </w:div>
    <w:div w:id="1813206209">
      <w:bodyDiv w:val="1"/>
      <w:marLeft w:val="0"/>
      <w:marRight w:val="0"/>
      <w:marTop w:val="0"/>
      <w:marBottom w:val="0"/>
      <w:divBdr>
        <w:top w:val="none" w:sz="0" w:space="0" w:color="auto"/>
        <w:left w:val="none" w:sz="0" w:space="0" w:color="auto"/>
        <w:bottom w:val="none" w:sz="0" w:space="0" w:color="auto"/>
        <w:right w:val="none" w:sz="0" w:space="0" w:color="auto"/>
      </w:divBdr>
    </w:div>
    <w:div w:id="188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caldiabogota.gov.co/sisjur/normas/Norma1.jsp?i=6388" TargetMode="External"/><Relationship Id="rId18" Type="http://schemas.openxmlformats.org/officeDocument/2006/relationships/hyperlink" Target="https://www.sic.gov.co/sites/default/files/files/CARTILLA_ACUERDOS%2019-03-2015.pdf" TargetMode="External"/><Relationship Id="rId26" Type="http://schemas.openxmlformats.org/officeDocument/2006/relationships/hyperlink" Target="mailto:delprotecompetencia@sic.gov.co" TargetMode="External"/><Relationship Id="rId39" Type="http://schemas.openxmlformats.org/officeDocument/2006/relationships/hyperlink" Target="mailto:delacion@sic.gov.co" TargetMode="External"/><Relationship Id="rId3" Type="http://schemas.openxmlformats.org/officeDocument/2006/relationships/styles" Target="styles.xml"/><Relationship Id="rId21" Type="http://schemas.openxmlformats.org/officeDocument/2006/relationships/hyperlink" Target="https://www.sic.gov.co/recursos_user/documentos/RESPUESTA_CARTILLA_GREMIOS.PDF" TargetMode="External"/><Relationship Id="rId34" Type="http://schemas.openxmlformats.org/officeDocument/2006/relationships/hyperlink" Target="mailto:superintendente@sic.gov.co" TargetMode="External"/><Relationship Id="rId42" Type="http://schemas.openxmlformats.org/officeDocument/2006/relationships/hyperlink" Target="http://www.secretariasenado.gov.co/senado/basedoc/ley_0472_1998.html" TargetMode="External"/><Relationship Id="rId7" Type="http://schemas.openxmlformats.org/officeDocument/2006/relationships/endnotes" Target="endnotes.xml"/><Relationship Id="rId12" Type="http://schemas.openxmlformats.org/officeDocument/2006/relationships/hyperlink" Target="http://www.secretariasenado.gov.co/senado/basedoc/decreto_4886_2011.html" TargetMode="External"/><Relationship Id="rId17" Type="http://schemas.openxmlformats.org/officeDocument/2006/relationships/hyperlink" Target="https://www.sic.gov.co/sites/default/files/files/Nuestra_Entidad/Publicaciones/Guia_Programa_Beneficios_Colaboracion_VF_Para_Publicar.pdf" TargetMode="External"/><Relationship Id="rId25" Type="http://schemas.openxmlformats.org/officeDocument/2006/relationships/hyperlink" Target="mailto:contactenos@sic.gov.co" TargetMode="External"/><Relationship Id="rId33" Type="http://schemas.openxmlformats.org/officeDocument/2006/relationships/hyperlink" Target="http://www.sic.gov.co/asesoria-en-linea" TargetMode="External"/><Relationship Id="rId38" Type="http://schemas.openxmlformats.org/officeDocument/2006/relationships/hyperlink" Target="mailto:delprotecompetencia@sic.gov.co" TargetMode="External"/><Relationship Id="rId2" Type="http://schemas.openxmlformats.org/officeDocument/2006/relationships/numbering" Target="numbering.xml"/><Relationship Id="rId16" Type="http://schemas.openxmlformats.org/officeDocument/2006/relationships/hyperlink" Target="https://www.sic.gov.co/sites/default/files/files/Nuestra_Entidad/Publicaciones/Guia_practica_acuerdos_colusorios_25_01_2016.pdf" TargetMode="External"/><Relationship Id="rId20" Type="http://schemas.openxmlformats.org/officeDocument/2006/relationships/hyperlink" Target="https://www.sic.gov.co/recursos_user/documentos/CARTILLA_GREMIOS.pdf" TargetMode="External"/><Relationship Id="rId29" Type="http://schemas.openxmlformats.org/officeDocument/2006/relationships/hyperlink" Target="mailto:contactenos@sic.gov.co" TargetMode="External"/><Relationship Id="rId41" Type="http://schemas.openxmlformats.org/officeDocument/2006/relationships/hyperlink" Target="http://www.sic.gov.co/sites/default/files/normatividad/Ley_1340_20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6912" TargetMode="External"/><Relationship Id="rId24" Type="http://schemas.openxmlformats.org/officeDocument/2006/relationships/hyperlink" Target="http://www.sic.gov.co/sicomp" TargetMode="External"/><Relationship Id="rId32" Type="http://schemas.openxmlformats.org/officeDocument/2006/relationships/hyperlink" Target="http://www.sic.gov.co" TargetMode="External"/><Relationship Id="rId37" Type="http://schemas.openxmlformats.org/officeDocument/2006/relationships/hyperlink" Target="mailto:delacion@sic.gov.co" TargetMode="External"/><Relationship Id="rId40" Type="http://schemas.openxmlformats.org/officeDocument/2006/relationships/hyperlink" Target="http://www.alcaldiabogota.gov.co/sisjur/normas/Norma1.jsp?i=3816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c.gov.co/sites/default/files/files/Nuestra_Entidad/Publicaciones/Preguntas_frecuentes_Regimen_de_Proteccion_de_la_Competencia.pdf" TargetMode="External"/><Relationship Id="rId23" Type="http://schemas.openxmlformats.org/officeDocument/2006/relationships/hyperlink" Target="http://www.sic.gov.co/practicas-restrictivas-de-la-competencia" TargetMode="External"/><Relationship Id="rId28" Type="http://schemas.openxmlformats.org/officeDocument/2006/relationships/hyperlink" Target="mailto:contactenos@sic.gov.co" TargetMode="External"/><Relationship Id="rId36" Type="http://schemas.openxmlformats.org/officeDocument/2006/relationships/hyperlink" Target="mailto:delacion@sic.gov.co" TargetMode="External"/><Relationship Id="rId10" Type="http://schemas.openxmlformats.org/officeDocument/2006/relationships/hyperlink" Target="http://www.alcaldiabogota.gov.co/sisjur/normas/Norma1.jsp?i=38168" TargetMode="External"/><Relationship Id="rId19" Type="http://schemas.openxmlformats.org/officeDocument/2006/relationships/hyperlink" Target="https://www.sic.gov.co/recursos_user/documentos/cartilla_acuerdos_R.PDF" TargetMode="External"/><Relationship Id="rId31" Type="http://schemas.openxmlformats.org/officeDocument/2006/relationships/hyperlink" Target="mailto:superintendente@sic.gov.c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diabogota.gov.co/sisjur/normas/Norma1.jsp?i=38169" TargetMode="External"/><Relationship Id="rId14" Type="http://schemas.openxmlformats.org/officeDocument/2006/relationships/hyperlink" Target="https://www.alcaldiabogota.gov.co/sisjur/normas/Norma1.jsp?i=62539" TargetMode="External"/><Relationship Id="rId22" Type="http://schemas.openxmlformats.org/officeDocument/2006/relationships/hyperlink" Target="http://www.sic.gov.co/beneficios-por-colaboracion" TargetMode="External"/><Relationship Id="rId27" Type="http://schemas.openxmlformats.org/officeDocument/2006/relationships/hyperlink" Target="https://www.sic.gov.co/tema/proteccion-de-la-competencia" TargetMode="External"/><Relationship Id="rId30" Type="http://schemas.openxmlformats.org/officeDocument/2006/relationships/hyperlink" Target="mailto:contactenos@sic.gov.co" TargetMode="External"/><Relationship Id="rId35" Type="http://schemas.openxmlformats.org/officeDocument/2006/relationships/hyperlink" Target="mailto:contactenos@sic.gov.co" TargetMode="External"/><Relationship Id="rId43" Type="http://schemas.openxmlformats.org/officeDocument/2006/relationships/hyperlink" Target="http://www.secretariasenado.gov.co/senado/basedoc/codigo_civil_pr0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065F-9F4F-408E-85F2-F88E9349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10434</Words>
  <Characters>57389</Characters>
  <Application>Microsoft Office Word</Application>
  <DocSecurity>0</DocSecurity>
  <Lines>478</Lines>
  <Paragraphs>135</Paragraphs>
  <ScaleCrop>false</ScaleCrop>
  <HeadingPairs>
    <vt:vector size="10" baseType="variant">
      <vt:variant>
        <vt:lpstr>Título</vt:lpstr>
      </vt:variant>
      <vt:variant>
        <vt:i4>1</vt:i4>
      </vt:variant>
      <vt:variant>
        <vt:lpstr>Cím</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5" baseType="lpstr">
      <vt:lpstr/>
      <vt:lpstr/>
      <vt:lpstr> </vt:lpstr>
      <vt:lpstr> </vt:lpstr>
      <vt:lpstr> </vt:lpstr>
    </vt:vector>
  </TitlesOfParts>
  <Company>GVH</Company>
  <LinksUpToDate>false</LinksUpToDate>
  <CharactersWithSpaces>67688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BalazsA</dc:creator>
  <cp:lastModifiedBy>Ana María Pérez Herrán</cp:lastModifiedBy>
  <cp:revision>8</cp:revision>
  <cp:lastPrinted>2005-04-22T17:42:00Z</cp:lastPrinted>
  <dcterms:created xsi:type="dcterms:W3CDTF">2020-04-28T20:09:00Z</dcterms:created>
  <dcterms:modified xsi:type="dcterms:W3CDTF">2020-04-28T20:40:00Z</dcterms:modified>
</cp:coreProperties>
</file>